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07E94" w14:textId="77777777" w:rsidR="007A2657" w:rsidRDefault="007A2657">
      <w:pPr>
        <w:spacing w:before="1400"/>
      </w:pPr>
    </w:p>
    <w:p w14:paraId="6134EB80" w14:textId="77777777" w:rsidR="007A2657" w:rsidRDefault="00000000">
      <w:pPr>
        <w:spacing w:after="480"/>
      </w:pPr>
      <w:r>
        <w:rPr>
          <w:noProof/>
        </w:rPr>
        <w:drawing>
          <wp:inline distT="0" distB="0" distL="0" distR="0" wp14:anchorId="57E2A9AF" wp14:editId="2D94865A">
            <wp:extent cx="1762125" cy="1085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762125" cy="1085850"/>
                    </a:xfrm>
                    <a:prstGeom prst="rect">
                      <a:avLst/>
                    </a:prstGeom>
                  </pic:spPr>
                </pic:pic>
              </a:graphicData>
            </a:graphic>
          </wp:inline>
        </w:drawing>
      </w:r>
    </w:p>
    <w:p w14:paraId="463B7187" w14:textId="77777777" w:rsidR="007A2657" w:rsidRDefault="00000000">
      <w:pPr>
        <w:pBdr>
          <w:left w:val="single" w:sz="36" w:space="8" w:color="F5A83D"/>
        </w:pBdr>
        <w:ind w:left="200"/>
      </w:pPr>
      <w:r>
        <w:rPr>
          <w:b/>
          <w:bCs/>
          <w:caps/>
          <w:color w:val="F5A83D"/>
          <w:spacing w:val="20"/>
        </w:rPr>
        <w:t>WHITE PAPER</w:t>
      </w:r>
    </w:p>
    <w:p w14:paraId="717F34B0" w14:textId="77777777" w:rsidR="007A2657" w:rsidRDefault="00000000">
      <w:pPr>
        <w:spacing w:before="200"/>
        <w:ind w:left="200"/>
      </w:pPr>
      <w:r>
        <w:rPr>
          <w:rFonts w:ascii="Cambria" w:eastAsia="Cambria" w:hAnsi="Cambria" w:cs="Cambria"/>
          <w:b/>
          <w:bCs/>
          <w:color w:val="0B1A2A"/>
          <w:sz w:val="56"/>
          <w:szCs w:val="56"/>
        </w:rPr>
        <w:t>Stabilizing Critical Suppliers</w:t>
      </w:r>
    </w:p>
    <w:p w14:paraId="38152C50" w14:textId="77777777" w:rsidR="007A2657" w:rsidRDefault="00000000">
      <w:pPr>
        <w:spacing w:before="40" w:after="320"/>
        <w:ind w:left="200"/>
      </w:pPr>
      <w:r>
        <w:rPr>
          <w:rFonts w:ascii="Cambria" w:eastAsia="Cambria" w:hAnsi="Cambria" w:cs="Cambria"/>
          <w:b/>
          <w:bCs/>
          <w:color w:val="0B1A2A"/>
          <w:sz w:val="56"/>
          <w:szCs w:val="56"/>
        </w:rPr>
        <w:t>to Protect Program Schedules</w:t>
      </w:r>
    </w:p>
    <w:p w14:paraId="1F51D3F4" w14:textId="77777777" w:rsidR="007A2657" w:rsidRDefault="00000000">
      <w:pPr>
        <w:spacing w:after="2000"/>
        <w:ind w:left="200"/>
      </w:pPr>
      <w:r>
        <w:rPr>
          <w:color w:val="2C4A6B"/>
          <w:sz w:val="26"/>
          <w:szCs w:val="26"/>
        </w:rPr>
        <w:t>A Standards-Based Framework for Supplier Recovery, Development, and Risk Mitigation in Defense, Aerospace, and Advanced Manufacturing</w:t>
      </w:r>
    </w:p>
    <w:p w14:paraId="213CF7C8" w14:textId="77777777" w:rsidR="007A2657" w:rsidRDefault="00000000">
      <w:pPr>
        <w:spacing w:after="60"/>
        <w:ind w:left="200"/>
      </w:pPr>
      <w:r>
        <w:rPr>
          <w:b/>
          <w:bCs/>
          <w:color w:val="0B1A2A"/>
          <w:sz w:val="20"/>
          <w:szCs w:val="20"/>
        </w:rPr>
        <w:t>Fulcrum Integrated Solutions</w:t>
      </w:r>
    </w:p>
    <w:p w14:paraId="3AFA79B7" w14:textId="19FCEC7A" w:rsidR="007A2657" w:rsidRDefault="00000000">
      <w:pPr>
        <w:ind w:left="200"/>
      </w:pPr>
      <w:r>
        <w:rPr>
          <w:color w:val="595959"/>
          <w:sz w:val="20"/>
          <w:szCs w:val="20"/>
        </w:rPr>
        <w:t xml:space="preserve">July </w:t>
      </w:r>
      <w:r w:rsidR="00BE3C6A">
        <w:rPr>
          <w:color w:val="595959"/>
          <w:sz w:val="20"/>
          <w:szCs w:val="20"/>
        </w:rPr>
        <w:t xml:space="preserve">8, </w:t>
      </w:r>
      <w:r>
        <w:rPr>
          <w:color w:val="595959"/>
          <w:sz w:val="20"/>
          <w:szCs w:val="20"/>
        </w:rPr>
        <w:t>2026</w:t>
      </w:r>
    </w:p>
    <w:p w14:paraId="361C34F4" w14:textId="77777777" w:rsidR="007A2657" w:rsidRDefault="00000000">
      <w:r>
        <w:br w:type="page"/>
      </w:r>
    </w:p>
    <w:p w14:paraId="73283573" w14:textId="77777777" w:rsidR="007A2657" w:rsidRDefault="007A2657">
      <w:pPr>
        <w:sectPr w:rsidR="007A2657">
          <w:pgSz w:w="12240" w:h="15840"/>
          <w:pgMar w:top="1440" w:right="1440" w:bottom="1440" w:left="1440" w:header="708" w:footer="708" w:gutter="0"/>
          <w:cols w:space="720"/>
          <w:docGrid w:linePitch="360"/>
        </w:sectPr>
      </w:pPr>
    </w:p>
    <w:p w14:paraId="6897818C" w14:textId="77777777" w:rsidR="007A2657" w:rsidRDefault="00000000">
      <w:pPr>
        <w:pStyle w:val="Heading1"/>
        <w:pBdr>
          <w:bottom w:val="single" w:sz="6" w:space="4" w:color="F5A83D"/>
        </w:pBdr>
        <w:spacing w:after="260"/>
      </w:pPr>
      <w:r>
        <w:rPr>
          <w:rFonts w:ascii="Cambria" w:eastAsia="Cambria" w:hAnsi="Cambria" w:cs="Cambria"/>
          <w:b/>
          <w:bCs/>
          <w:color w:val="0B1A2A"/>
          <w:sz w:val="30"/>
          <w:szCs w:val="30"/>
        </w:rPr>
        <w:lastRenderedPageBreak/>
        <w:t>Table of Contents</w:t>
      </w:r>
    </w:p>
    <w:p w14:paraId="1751D2F8" w14:textId="77777777" w:rsidR="007A2657" w:rsidRDefault="00000000">
      <w:pPr>
        <w:tabs>
          <w:tab w:val="right" w:leader="dot" w:pos="9360"/>
        </w:tabs>
        <w:spacing w:after="140"/>
      </w:pPr>
      <w:r>
        <w:t>Executive Summary</w:t>
      </w:r>
      <w:r>
        <w:tab/>
        <w:t>3</w:t>
      </w:r>
    </w:p>
    <w:p w14:paraId="39173847" w14:textId="77777777" w:rsidR="007A2657" w:rsidRDefault="00000000">
      <w:pPr>
        <w:tabs>
          <w:tab w:val="right" w:leader="dot" w:pos="9360"/>
        </w:tabs>
        <w:spacing w:after="140"/>
      </w:pPr>
      <w:r>
        <w:t>1. The Challenge: When a Critical Supplier Becomes a Program Risk</w:t>
      </w:r>
      <w:r>
        <w:tab/>
        <w:t>3</w:t>
      </w:r>
    </w:p>
    <w:p w14:paraId="4AD6E0DF" w14:textId="77777777" w:rsidR="007A2657" w:rsidRDefault="00000000">
      <w:pPr>
        <w:tabs>
          <w:tab w:val="right" w:leader="dot" w:pos="9360"/>
        </w:tabs>
        <w:spacing w:after="140"/>
      </w:pPr>
      <w:r>
        <w:t>2. The Standards Foundation: AS9100, AS9102, and Flow-Down Requirements</w:t>
      </w:r>
      <w:r>
        <w:tab/>
        <w:t>4</w:t>
      </w:r>
    </w:p>
    <w:p w14:paraId="307DA620" w14:textId="77777777" w:rsidR="007A2657" w:rsidRDefault="00000000">
      <w:pPr>
        <w:tabs>
          <w:tab w:val="right" w:leader="dot" w:pos="9360"/>
        </w:tabs>
        <w:spacing w:after="140"/>
      </w:pPr>
      <w:r>
        <w:t>3. Structured Root Cause Analysis and Corrective Action</w:t>
      </w:r>
      <w:r>
        <w:tab/>
        <w:t>4</w:t>
      </w:r>
    </w:p>
    <w:p w14:paraId="5F5AEEAB" w14:textId="77777777" w:rsidR="007A2657" w:rsidRDefault="00000000">
      <w:pPr>
        <w:tabs>
          <w:tab w:val="right" w:leader="dot" w:pos="9360"/>
        </w:tabs>
        <w:spacing w:after="140"/>
      </w:pPr>
      <w:r>
        <w:t>4. The Single-Source Problem: Scale and Systemic Risk</w:t>
      </w:r>
      <w:r>
        <w:tab/>
        <w:t>5</w:t>
      </w:r>
    </w:p>
    <w:p w14:paraId="3E82F62E" w14:textId="77777777" w:rsidR="007A2657" w:rsidRDefault="00000000">
      <w:pPr>
        <w:tabs>
          <w:tab w:val="right" w:leader="dot" w:pos="9360"/>
        </w:tabs>
        <w:spacing w:after="140"/>
      </w:pPr>
      <w:r>
        <w:t>5. Dual-Sourcing as a Risk Mitigation Strategy</w:t>
      </w:r>
      <w:r>
        <w:tab/>
        <w:t>5</w:t>
      </w:r>
    </w:p>
    <w:p w14:paraId="412B174E" w14:textId="77777777" w:rsidR="007A2657" w:rsidRDefault="00000000">
      <w:pPr>
        <w:tabs>
          <w:tab w:val="right" w:leader="dot" w:pos="9360"/>
        </w:tabs>
        <w:spacing w:after="140"/>
      </w:pPr>
      <w:r>
        <w:t>6. Supplier Development: From Audit to Partnership</w:t>
      </w:r>
      <w:r>
        <w:tab/>
        <w:t>6</w:t>
      </w:r>
    </w:p>
    <w:p w14:paraId="2D29E7F3" w14:textId="77777777" w:rsidR="007A2657" w:rsidRDefault="00000000">
      <w:pPr>
        <w:tabs>
          <w:tab w:val="right" w:leader="dot" w:pos="9360"/>
        </w:tabs>
        <w:spacing w:after="140"/>
      </w:pPr>
      <w:r>
        <w:t>7. Performance Management: Scorecards, Dashboards, and KPIs</w:t>
      </w:r>
      <w:r>
        <w:tab/>
        <w:t>7</w:t>
      </w:r>
    </w:p>
    <w:p w14:paraId="3BB41C3C" w14:textId="77777777" w:rsidR="007A2657" w:rsidRDefault="00000000">
      <w:pPr>
        <w:tabs>
          <w:tab w:val="right" w:leader="dot" w:pos="9360"/>
        </w:tabs>
        <w:spacing w:after="140"/>
      </w:pPr>
      <w:r>
        <w:t>8. The Financial Case for Supplier Recovery</w:t>
      </w:r>
      <w:r>
        <w:tab/>
        <w:t>7</w:t>
      </w:r>
    </w:p>
    <w:p w14:paraId="07AC042A" w14:textId="77777777" w:rsidR="007A2657" w:rsidRDefault="00000000">
      <w:pPr>
        <w:tabs>
          <w:tab w:val="right" w:leader="dot" w:pos="9360"/>
        </w:tabs>
        <w:spacing w:after="140"/>
      </w:pPr>
      <w:r>
        <w:t>9. Contractual Mechanisms: Flow-Down and Regulatory Requirements</w:t>
      </w:r>
      <w:r>
        <w:tab/>
        <w:t>8</w:t>
      </w:r>
    </w:p>
    <w:p w14:paraId="6D2874FB" w14:textId="77777777" w:rsidR="007A2657" w:rsidRDefault="00000000">
      <w:pPr>
        <w:tabs>
          <w:tab w:val="right" w:leader="dot" w:pos="9360"/>
        </w:tabs>
        <w:spacing w:after="140"/>
      </w:pPr>
      <w:r>
        <w:t>10. A Four-Stage Recovery Framework</w:t>
      </w:r>
      <w:r>
        <w:tab/>
        <w:t>8</w:t>
      </w:r>
    </w:p>
    <w:p w14:paraId="441CA417" w14:textId="77777777" w:rsidR="007A2657" w:rsidRDefault="00000000">
      <w:pPr>
        <w:tabs>
          <w:tab w:val="right" w:leader="dot" w:pos="9360"/>
        </w:tabs>
        <w:spacing w:after="140"/>
      </w:pPr>
      <w:r>
        <w:t>11. Conclusion</w:t>
      </w:r>
      <w:r>
        <w:tab/>
        <w:t>9</w:t>
      </w:r>
    </w:p>
    <w:p w14:paraId="19CFD735" w14:textId="77777777" w:rsidR="007A2657" w:rsidRDefault="00000000">
      <w:pPr>
        <w:tabs>
          <w:tab w:val="right" w:leader="dot" w:pos="9360"/>
        </w:tabs>
        <w:spacing w:after="140"/>
      </w:pPr>
      <w:r>
        <w:t>Limitations and Methodology Note</w:t>
      </w:r>
      <w:r>
        <w:tab/>
        <w:t>9</w:t>
      </w:r>
    </w:p>
    <w:p w14:paraId="557FBF5B" w14:textId="77777777" w:rsidR="007A2657" w:rsidRDefault="00000000">
      <w:pPr>
        <w:tabs>
          <w:tab w:val="right" w:leader="dot" w:pos="9360"/>
        </w:tabs>
        <w:spacing w:after="140"/>
      </w:pPr>
      <w:r>
        <w:t>Sources</w:t>
      </w:r>
      <w:r>
        <w:tab/>
        <w:t>9</w:t>
      </w:r>
    </w:p>
    <w:p w14:paraId="20DCDB41" w14:textId="77777777" w:rsidR="007A2657" w:rsidRDefault="00000000">
      <w:r>
        <w:br w:type="page"/>
      </w:r>
    </w:p>
    <w:p w14:paraId="53D4143E" w14:textId="77777777" w:rsidR="007A2657" w:rsidRDefault="00000000">
      <w:pPr>
        <w:pStyle w:val="Heading1"/>
        <w:pBdr>
          <w:bottom w:val="single" w:sz="6" w:space="4" w:color="F5A83D"/>
        </w:pBdr>
        <w:spacing w:before="480" w:after="200"/>
      </w:pPr>
      <w:r>
        <w:rPr>
          <w:rFonts w:ascii="Cambria" w:eastAsia="Cambria" w:hAnsi="Cambria" w:cs="Cambria"/>
          <w:b/>
          <w:bCs/>
          <w:color w:val="0B1A2A"/>
          <w:sz w:val="30"/>
          <w:szCs w:val="30"/>
        </w:rPr>
        <w:lastRenderedPageBreak/>
        <w:t>Executive Summary</w:t>
      </w:r>
    </w:p>
    <w:p w14:paraId="0A19813E" w14:textId="77777777" w:rsidR="007A2657" w:rsidRDefault="00000000">
      <w:pPr>
        <w:spacing w:after="200" w:line="288" w:lineRule="auto"/>
        <w:jc w:val="both"/>
      </w:pPr>
      <w:r>
        <w:t>Defense, aerospace, and advanced manufacturing programs run on thousands of suppliers, and a single underperforming link can stall an entire program. When a critical supplier, often a sole source for a precision component, begins missing delivery dates or shipping nonconforming parts, the consequences cascade quickly: production lines stall, contractual penalties loom, rework costs mount, and customer confidence erodes. This white paper presents a standards-anchored, field-tested framework for recovering a critical supplier relationship and permanently reducing the risk it poses to program schedules.</w:t>
      </w:r>
    </w:p>
    <w:p w14:paraId="0F7FDE86" w14:textId="77777777" w:rsidR="007A2657" w:rsidRDefault="00000000">
      <w:pPr>
        <w:spacing w:after="200" w:line="288" w:lineRule="auto"/>
        <w:jc w:val="both"/>
      </w:pPr>
      <w:r>
        <w:t>Drawing on established aerospace quality standards (AS9100, AS9102, AS13100), structured problem-solving methods (8D, Ishikawa, 5-Why), U.S. Government Accountability Office (GAO) findings on defense industrial base risk, and published supplier-development case studies, this paper outlines a four-stage recovery path: stabilize and contain the immediate disruption; drive root-cause corrective action and requalification; build sustained supplier development and performance monitoring; and structurally de-risk the relationship through dual-sourcing or other resilience investments.</w:t>
      </w:r>
    </w:p>
    <w:p w14:paraId="37887A98" w14:textId="77777777" w:rsidR="007A2657" w:rsidRDefault="00000000">
      <w:pPr>
        <w:spacing w:after="200" w:line="288" w:lineRule="auto"/>
        <w:jc w:val="both"/>
      </w:pPr>
      <w:r>
        <w:t>The stakes are substantial. The Department of Defense estimates that more than 200,000 suppliers contribute to advanced weapon systems, and supplier-related defects are estimated to account for 30 to 50 percent of quality issues in aerospace manufacturing. Cost of poor quality commonly runs 5 to 30 percent of sales in manufacturing organizations, and nearly a third of supplier disruptions cost organizations more than $5 million each. Programs that invest early and systematically in supplier recovery and development consistently outperform those that treat supplier failures as one-off events.</w:t>
      </w:r>
    </w:p>
    <w:p w14:paraId="09D3F0BD" w14:textId="77777777" w:rsidR="007A2657" w:rsidRDefault="00000000">
      <w:pPr>
        <w:pStyle w:val="Heading1"/>
        <w:pBdr>
          <w:bottom w:val="single" w:sz="6" w:space="4" w:color="F5A83D"/>
        </w:pBdr>
        <w:spacing w:before="480" w:after="200"/>
      </w:pPr>
      <w:r>
        <w:rPr>
          <w:rFonts w:ascii="Cambria" w:eastAsia="Cambria" w:hAnsi="Cambria" w:cs="Cambria"/>
          <w:b/>
          <w:bCs/>
          <w:color w:val="0B1A2A"/>
          <w:sz w:val="30"/>
          <w:szCs w:val="30"/>
        </w:rPr>
        <w:t>1. The Challenge: When a Critical Supplier Becomes a Program Risk</w:t>
      </w:r>
    </w:p>
    <w:p w14:paraId="22C73C22" w14:textId="77777777" w:rsidR="007A2657" w:rsidRDefault="00000000">
      <w:pPr>
        <w:spacing w:after="200" w:line="288" w:lineRule="auto"/>
        <w:jc w:val="both"/>
      </w:pPr>
      <w:r>
        <w:t>Every complex defense or aerospace program depends on a layered network of suppliers for precision components: castings, forgings, machined parts, electronic assemblies, optical elements, and specialty materials. In many cases, a single supplier is the only qualified source for a given part, whether because of proprietary process knowledge, certification requirements, or the economics of a low-volume, high-complexity item.</w:t>
      </w:r>
    </w:p>
    <w:p w14:paraId="505AA40A" w14:textId="77777777" w:rsidR="007A2657" w:rsidRDefault="00000000">
      <w:pPr>
        <w:spacing w:after="200" w:line="288" w:lineRule="auto"/>
        <w:jc w:val="both"/>
      </w:pPr>
      <w:r>
        <w:t>When that supplier begins to falter, whether through late deliveries, nonconforming shipments, or inconsistent process control, the effects rarely stay contained. Production lines stop waiting for parts. Inspection and rework queues grow. Contractual delivery milestones slip, exposing the program to penalty clauses and reputational damage. And because the supplier is often the only qualified source, the customer has little immediate leverage to demand better performance.</w:t>
      </w:r>
    </w:p>
    <w:p w14:paraId="4053FC9C" w14:textId="77777777" w:rsidR="007A2657" w:rsidRDefault="00000000">
      <w:pPr>
        <w:spacing w:after="200" w:line="288" w:lineRule="auto"/>
        <w:jc w:val="both"/>
      </w:pPr>
      <w:r>
        <w:t xml:space="preserve">This is not an edge case; it is a structural feature of defense and aerospace supply chains. The Government Accountability Office has repeatedly found that the Department of Defense has incomplete visibility into where single sources of supply exist across its programs, and that program offices often rely on prime </w:t>
      </w:r>
      <w:r>
        <w:lastRenderedPageBreak/>
        <w:t>contractors, rather than independent assessment, to identify and manage that risk. Left unaddressed, single-source dependency converts an ordinary supplier quality problem into a program-level schedule and readiness risk.</w:t>
      </w:r>
    </w:p>
    <w:p w14:paraId="710EB281" w14:textId="77777777" w:rsidR="007A2657" w:rsidRDefault="00000000">
      <w:pPr>
        <w:spacing w:after="200" w:line="288" w:lineRule="auto"/>
        <w:jc w:val="both"/>
      </w:pPr>
      <w:r>
        <w:t>The remainder of this paper lays out a structured recovery approach, grounded in aerospace quality standards and supported by evidence from government oversight reports, peer-reviewed research, and published industry case studies.</w:t>
      </w:r>
    </w:p>
    <w:p w14:paraId="5BE2E3CA" w14:textId="77777777" w:rsidR="007A2657" w:rsidRDefault="00000000">
      <w:pPr>
        <w:pStyle w:val="Heading1"/>
        <w:pBdr>
          <w:bottom w:val="single" w:sz="6" w:space="4" w:color="F5A83D"/>
        </w:pBdr>
        <w:spacing w:before="480" w:after="200"/>
      </w:pPr>
      <w:r>
        <w:rPr>
          <w:rFonts w:ascii="Cambria" w:eastAsia="Cambria" w:hAnsi="Cambria" w:cs="Cambria"/>
          <w:b/>
          <w:bCs/>
          <w:color w:val="0B1A2A"/>
          <w:sz w:val="30"/>
          <w:szCs w:val="30"/>
        </w:rPr>
        <w:t>2. The Standards Foundation: AS9100, AS9102, and Flow-Down Requirements</w:t>
      </w:r>
    </w:p>
    <w:p w14:paraId="2A49B000" w14:textId="77777777" w:rsidR="007A2657" w:rsidRDefault="00000000">
      <w:pPr>
        <w:spacing w:after="200" w:line="288" w:lineRule="auto"/>
        <w:jc w:val="both"/>
      </w:pPr>
      <w:r>
        <w:t>Recovering a struggling supplier starts with re-establishing objective, standards-based control over what “conforming” means and how it is proven.</w:t>
      </w:r>
    </w:p>
    <w:p w14:paraId="67F1ADE3" w14:textId="77777777" w:rsidR="007A2657" w:rsidRDefault="00000000">
      <w:pPr>
        <w:pStyle w:val="Heading2"/>
        <w:spacing w:before="320" w:after="140"/>
      </w:pPr>
      <w:r>
        <w:rPr>
          <w:rFonts w:ascii="Cambria" w:eastAsia="Cambria" w:hAnsi="Cambria" w:cs="Cambria"/>
          <w:b/>
          <w:bCs/>
          <w:color w:val="2C4A6B"/>
          <w:sz w:val="24"/>
          <w:szCs w:val="24"/>
        </w:rPr>
        <w:t>AS9100 and Supplier Flow-Down</w:t>
      </w:r>
    </w:p>
    <w:p w14:paraId="3DA8DF04" w14:textId="77777777" w:rsidR="007A2657" w:rsidRDefault="00000000">
      <w:pPr>
        <w:spacing w:after="200" w:line="288" w:lineRule="auto"/>
        <w:jc w:val="both"/>
      </w:pPr>
      <w:r>
        <w:t>AS9100 is the quality management standard for aviation, space, and defense organizations, built on the ISO 9001 framework with aerospace-specific additions for product safety, counterfeit-parts prevention, configuration management, and, critically for supplier recovery, supplier management and flow-down. Clause 8.4.3 governs what requirements an organization must flow down to its external providers, and organizations are expected to document their justification for any requirement they choose not to flow down. Clause 8.5.1.3 requires verification of production processes, an activity commonly referred to as First Article Inspection.</w:t>
      </w:r>
    </w:p>
    <w:p w14:paraId="12807878" w14:textId="77777777" w:rsidR="007A2657" w:rsidRDefault="00000000">
      <w:pPr>
        <w:pStyle w:val="Heading2"/>
        <w:spacing w:before="320" w:after="140"/>
      </w:pPr>
      <w:r>
        <w:rPr>
          <w:rFonts w:ascii="Cambria" w:eastAsia="Cambria" w:hAnsi="Cambria" w:cs="Cambria"/>
          <w:b/>
          <w:bCs/>
          <w:color w:val="2C4A6B"/>
          <w:sz w:val="24"/>
          <w:szCs w:val="24"/>
        </w:rPr>
        <w:t>AS9102 and First Article Inspection</w:t>
      </w:r>
    </w:p>
    <w:p w14:paraId="659A492A" w14:textId="77777777" w:rsidR="007A2657" w:rsidRDefault="00000000">
      <w:pPr>
        <w:spacing w:after="200" w:line="288" w:lineRule="auto"/>
        <w:jc w:val="both"/>
      </w:pPr>
      <w:r>
        <w:t>AS9102, the governing standard for First Article Inspection (FAI), operationalizes that verification. It requires selecting a part from the first production lot and verifying, through three linked forms, that the part conforms in every respect: Form 1 confirms part-number accountability, Form 2 confirms materials and special processes, and Form 3 records measured values for every characteristic on the engineering drawing against the print. AS9102 further requires that inspection equipment be calibrated and traceable to national standards, and that inspection personnel be qualified and independent of the individuals who manufactured the part, a direct and often overlooked lever in supplier recovery, since conflicts of interest and calibration drift are common root causes of recurring nonconformance. FAI must be repeated whenever a design or process change could affect fit, form, or function, which makes it equally relevant to new-product introduction and to recovery of an existing part number.</w:t>
      </w:r>
    </w:p>
    <w:p w14:paraId="6AF5CB96" w14:textId="77777777" w:rsidR="007A2657" w:rsidRDefault="00000000">
      <w:pPr>
        <w:spacing w:after="200" w:line="288" w:lineRule="auto"/>
        <w:jc w:val="both"/>
      </w:pPr>
      <w:r>
        <w:t>Together, AS9100 and AS9102 give a recovery team a common, contractually enforceable language: what must be flowed down, what must be verified, and how that verification must be documented and defended in an audit. Re-establishing rigorous flow-down and FAI discipline is almost always the first technical step in a credible supplier recovery plan.</w:t>
      </w:r>
    </w:p>
    <w:p w14:paraId="729038F1" w14:textId="77777777" w:rsidR="007A2657" w:rsidRDefault="00000000">
      <w:pPr>
        <w:pStyle w:val="Heading1"/>
        <w:pBdr>
          <w:bottom w:val="single" w:sz="6" w:space="4" w:color="F5A83D"/>
        </w:pBdr>
        <w:spacing w:before="480" w:after="200"/>
      </w:pPr>
      <w:r>
        <w:rPr>
          <w:rFonts w:ascii="Cambria" w:eastAsia="Cambria" w:hAnsi="Cambria" w:cs="Cambria"/>
          <w:b/>
          <w:bCs/>
          <w:color w:val="0B1A2A"/>
          <w:sz w:val="30"/>
          <w:szCs w:val="30"/>
        </w:rPr>
        <w:lastRenderedPageBreak/>
        <w:t>3. Structured Root Cause Analysis and Corrective Action</w:t>
      </w:r>
    </w:p>
    <w:p w14:paraId="21E574B5" w14:textId="77777777" w:rsidR="007A2657" w:rsidRDefault="00000000">
      <w:pPr>
        <w:spacing w:after="200" w:line="288" w:lineRule="auto"/>
        <w:jc w:val="both"/>
      </w:pPr>
      <w:r>
        <w:t>Nonconformance and late delivery are symptoms. Recovery efforts fail when they treat the symptom rather than the underlying process or design defect, and the aerospace industry has converged on a small set of structured methods to make that distinction reliably.</w:t>
      </w:r>
    </w:p>
    <w:p w14:paraId="7ABB00AB" w14:textId="77777777" w:rsidR="007A2657" w:rsidRDefault="00000000">
      <w:pPr>
        <w:spacing w:after="200" w:line="288" w:lineRule="auto"/>
        <w:jc w:val="both"/>
      </w:pPr>
      <w:r>
        <w:t>The 8D (Eight Disciplines) methodology, increasingly mandated across the aerospace supply chain, provides the framework: form a cross-functional team; describe the problem precisely; implement interim containment, commonly 100 percent inspection or source inspection, to protect the customer immediately; identify the true root cause; implement and validate a permanent corrective action; and standardize the fix to prevent recurrence elsewhere. The root-cause step typically draws on 5-Why analysis and Ishikawa (fishbone) diagrams to move past superficial explanations. Industry training materials are explicit on this point: “operator error” is not an acceptable terminal root cause, because it does not explain why the process or design allowed the error to occur or escape detection.</w:t>
      </w:r>
    </w:p>
    <w:p w14:paraId="731593CF" w14:textId="77777777" w:rsidR="007A2657" w:rsidRDefault="00000000">
      <w:pPr>
        <w:spacing w:after="200" w:line="288" w:lineRule="auto"/>
        <w:jc w:val="both"/>
      </w:pPr>
      <w:r>
        <w:t>For the aero-engine supply chain specifically, the Aerospace Engine Supplier Quality (AESQ) Strategy Group has codified this discipline further in AS13100, which standardizes root cause analysis methodology so that it becomes a repeatable, auditable process rather than a variable, inspector-dependent exercise. AS13100 builds on AS9100 and AS9145 (Advanced Product Quality Planning and Production Part Approval Process) and is increasingly flowed down contractually by major engine manufacturers.</w:t>
      </w:r>
    </w:p>
    <w:p w14:paraId="1DD4576D" w14:textId="77777777" w:rsidR="007A2657" w:rsidRDefault="00000000">
      <w:pPr>
        <w:spacing w:after="200" w:line="288" w:lineRule="auto"/>
        <w:jc w:val="both"/>
      </w:pPr>
      <w:r>
        <w:t>A credible recovery plan documents each of these steps explicitly, not as a compliance exercise, but because containment protects the customer while the real fix is developed, and because a root cause tied to process or design, rather than to an individual's mistake, is the only kind of finding that produces a corrective action durable enough to prevent recurrence.</w:t>
      </w:r>
    </w:p>
    <w:p w14:paraId="762AA15F" w14:textId="77777777" w:rsidR="007A2657" w:rsidRDefault="00000000">
      <w:pPr>
        <w:pStyle w:val="Heading1"/>
        <w:pBdr>
          <w:bottom w:val="single" w:sz="6" w:space="4" w:color="F5A83D"/>
        </w:pBdr>
        <w:spacing w:before="480" w:after="200"/>
      </w:pPr>
      <w:r>
        <w:rPr>
          <w:rFonts w:ascii="Cambria" w:eastAsia="Cambria" w:hAnsi="Cambria" w:cs="Cambria"/>
          <w:b/>
          <w:bCs/>
          <w:color w:val="0B1A2A"/>
          <w:sz w:val="30"/>
          <w:szCs w:val="30"/>
        </w:rPr>
        <w:t>4. The Single-Source Problem: Scale and Systemic Risk</w:t>
      </w:r>
    </w:p>
    <w:p w14:paraId="5C7DC33B" w14:textId="77777777" w:rsidR="007A2657" w:rsidRDefault="00000000">
      <w:pPr>
        <w:spacing w:after="200" w:line="288" w:lineRule="auto"/>
        <w:jc w:val="both"/>
      </w:pPr>
      <w:r>
        <w:t>Single-source dependency is not a rare complication; it is a defining structural risk of the defense industrial base. The Department of Defense estimates that more than 200,000 suppliers contribute to the production of advanced weapon systems, and the Government Accountability Office has found, across multiple reviews, that DoD's visibility into where single sources of supply exist is incomplete. A 2017 GAO review found that a departmental report on single sources of supply, mandated by Congress, did not fully address key required elements, and that classified appendixes to that report identified more than 380 task assets and 33 technology and industrial-capability areas at risk. A subsequent 2022 review similarly found that DoD lacked enterprise-wide performance measures for managing industrial-base risk, even as the industrial base itself, made up of more than 200,000 companies, continued to face pressure from foreign dependency and supplier consolidation.</w:t>
      </w:r>
    </w:p>
    <w:p w14:paraId="5FB782E0" w14:textId="77777777" w:rsidR="007A2657" w:rsidRDefault="00000000">
      <w:pPr>
        <w:spacing w:after="200" w:line="288" w:lineRule="auto"/>
        <w:jc w:val="both"/>
      </w:pPr>
      <w:r>
        <w:t xml:space="preserve">This matters directly to supplier recovery planning because it changes the calculus of leverage. When a customer has no qualified alternate source, an underperforming supplier can, in effect, hold a program </w:t>
      </w:r>
      <w:r>
        <w:lastRenderedPageBreak/>
        <w:t>hostage to its own recovery timeline. Recovery plans that do not simultaneously address this structural exposure, whether through dual-sourcing, targeted industrial-</w:t>
      </w:r>
      <w:proofErr w:type="spellStart"/>
      <w:r>
        <w:t>base</w:t>
      </w:r>
      <w:proofErr w:type="spellEnd"/>
      <w:r>
        <w:t xml:space="preserve"> investment, or contractual leverage, treat the symptom while leaving the underlying vulnerability in place for the next disruption.</w:t>
      </w:r>
    </w:p>
    <w:p w14:paraId="1E24C06A" w14:textId="77777777" w:rsidR="007A2657" w:rsidRDefault="00000000">
      <w:pPr>
        <w:pStyle w:val="Heading1"/>
        <w:pBdr>
          <w:bottom w:val="single" w:sz="6" w:space="4" w:color="F5A83D"/>
        </w:pBdr>
        <w:spacing w:before="480" w:after="200"/>
      </w:pPr>
      <w:r>
        <w:rPr>
          <w:rFonts w:ascii="Cambria" w:eastAsia="Cambria" w:hAnsi="Cambria" w:cs="Cambria"/>
          <w:b/>
          <w:bCs/>
          <w:color w:val="0B1A2A"/>
          <w:sz w:val="30"/>
          <w:szCs w:val="30"/>
        </w:rPr>
        <w:t>5. Dual-Sourcing as a Risk Mitigation Strategy</w:t>
      </w:r>
    </w:p>
    <w:p w14:paraId="02F671B6" w14:textId="77777777" w:rsidR="007A2657" w:rsidRDefault="00000000">
      <w:pPr>
        <w:spacing w:after="200" w:line="288" w:lineRule="auto"/>
        <w:jc w:val="both"/>
      </w:pPr>
      <w:r>
        <w:t>Qualifying a second source is the single most durable structural fix to single-source risk, and it has a substantial evidentiary record in defense procurement.</w:t>
      </w:r>
    </w:p>
    <w:p w14:paraId="4375065E" w14:textId="77777777" w:rsidR="007A2657" w:rsidRDefault="00000000">
      <w:pPr>
        <w:spacing w:after="200" w:line="288" w:lineRule="auto"/>
        <w:jc w:val="both"/>
      </w:pPr>
      <w:r>
        <w:t>The best-known historical example is the “Great Engine War” of the 1980s, in which the U.S. Air Force split production of F-15 and F-16 engines between two competing manufacturers rather than continuing to rely on a single incumbent. Retrospective accounts published by industry outlets and academic centers credit the resulting competition with saving billions of dollars over the program's lifecycle and roughly doubling engine reliability, figures that originate from secondary retrospective sources and should be re-verified against primary program records before use in any compliance-critical context, but that are broadly consistent with the academic literature on dual sourcing. A peer-reviewed study of tactical missile procurement, published in the Journal of Industrial Economics, found that the U.S. government tends to introduce dual sourcing after an incumbent supplier demonstrates quality control problems, and that, after correcting for the fact that troubled programs are more likely to receive this treatment, dual sourcing significantly reduces government procurement costs.</w:t>
      </w:r>
    </w:p>
    <w:p w14:paraId="7B822747" w14:textId="77777777" w:rsidR="007A2657" w:rsidRDefault="00000000">
      <w:pPr>
        <w:spacing w:after="200" w:line="288" w:lineRule="auto"/>
        <w:jc w:val="both"/>
      </w:pPr>
      <w:r>
        <w:t>The strategy is not without trade-offs. GAO and the Department of Defense Inspector General have both noted that dual sourcing carries an up-front cost, since qualifying a second source takes time and money before any savings or reliability benefits materialize, and that its cost-effectiveness can be uncertain depending on program context. Industry benchmarking in adjacent sectors suggests qualification can commonly take more than a year from identification to production approval. Recovery plans should therefore treat dual-sourcing as a resilience investment with a real, multi-month to multi-year payback period, not a quick fix, and should model qualification cost against the cost of continued exposure to a single point of failure. In 2026, the Department of Defense's Acquisition Transformation Strategy called for at least two qualified sources for critical program content going forward, signaling that this expectation is becoming a default rather than an exception.</w:t>
      </w:r>
    </w:p>
    <w:p w14:paraId="4B29CB8C" w14:textId="77777777" w:rsidR="007A2657" w:rsidRDefault="00000000">
      <w:pPr>
        <w:pStyle w:val="Heading1"/>
        <w:pBdr>
          <w:bottom w:val="single" w:sz="6" w:space="4" w:color="F5A83D"/>
        </w:pBdr>
        <w:spacing w:before="480" w:after="200"/>
      </w:pPr>
      <w:r>
        <w:rPr>
          <w:rFonts w:ascii="Cambria" w:eastAsia="Cambria" w:hAnsi="Cambria" w:cs="Cambria"/>
          <w:b/>
          <w:bCs/>
          <w:color w:val="0B1A2A"/>
          <w:sz w:val="30"/>
          <w:szCs w:val="30"/>
        </w:rPr>
        <w:t>6. Supplier Development: From Audit to Partnership</w:t>
      </w:r>
    </w:p>
    <w:p w14:paraId="1D72A456" w14:textId="77777777" w:rsidR="007A2657" w:rsidRDefault="00000000">
      <w:pPr>
        <w:spacing w:after="200" w:line="288" w:lineRule="auto"/>
        <w:jc w:val="both"/>
      </w:pPr>
      <w:r>
        <w:t>Auditing a supplier identifies problems; developing a supplier fixes them. The distinction matters because, in aerospace manufacturing, purchased material commonly accounts for roughly 60 percent of a product's total cost and 70 percent of its lead time, meaning that a program's schedule and cost performance are, in a very real sense, determined as much by supplier capability as by internal engineering and manufacturing.</w:t>
      </w:r>
    </w:p>
    <w:p w14:paraId="52172EFD" w14:textId="77777777" w:rsidR="007A2657" w:rsidRDefault="00000000">
      <w:pPr>
        <w:spacing w:after="200" w:line="288" w:lineRule="auto"/>
        <w:jc w:val="both"/>
      </w:pPr>
      <w:r>
        <w:lastRenderedPageBreak/>
        <w:t>Effective supplier development goes beyond issuing corrective action requests. It means placing customer engineering and quality resources on-site to help redesign a supplier's process, training the supplier's workforce, and transferring proven improvement methods such as kaizen directly onto the supplier's floor. Published case studies bear this out: one aerospace and defense propulsion supplier, working with an outside improvement consultancy, is reported to have raised on-time delivery performance and reduced customer nonconformance rates while cutting kitting inventory from three weeks to under three days. Other long-running aerospace kaizen deployments report cutting inventory, delivery time, and waste roughly in half while pushing first-pass yield above 98 percent.</w:t>
      </w:r>
    </w:p>
    <w:p w14:paraId="5E727F24" w14:textId="77777777" w:rsidR="007A2657" w:rsidRDefault="00000000">
      <w:pPr>
        <w:spacing w:after="200" w:line="288" w:lineRule="auto"/>
        <w:jc w:val="both"/>
      </w:pPr>
      <w:r>
        <w:t>The broader lesson for a recovery plan is that a supplier development investment, including training, process redesign support, and shared improvement methodology, tends to produce more durable gains than corrective-action paperwork alone, particularly when the supplier's underlying capability, rather than its intentions, is the limiting factor.</w:t>
      </w:r>
    </w:p>
    <w:p w14:paraId="6984831C" w14:textId="77777777" w:rsidR="007A2657" w:rsidRDefault="00000000">
      <w:pPr>
        <w:pStyle w:val="Heading1"/>
        <w:pBdr>
          <w:bottom w:val="single" w:sz="6" w:space="4" w:color="F5A83D"/>
        </w:pBdr>
        <w:spacing w:before="480" w:after="200"/>
      </w:pPr>
      <w:r>
        <w:rPr>
          <w:rFonts w:ascii="Cambria" w:eastAsia="Cambria" w:hAnsi="Cambria" w:cs="Cambria"/>
          <w:b/>
          <w:bCs/>
          <w:color w:val="0B1A2A"/>
          <w:sz w:val="30"/>
          <w:szCs w:val="30"/>
        </w:rPr>
        <w:t>7. Performance Management: Scorecards, Dashboards, and KPIs</w:t>
      </w:r>
    </w:p>
    <w:p w14:paraId="1BA6ACC1" w14:textId="77777777" w:rsidR="007A2657" w:rsidRDefault="00000000">
      <w:pPr>
        <w:spacing w:after="200" w:line="288" w:lineRule="auto"/>
        <w:jc w:val="both"/>
      </w:pPr>
      <w:r>
        <w:t>Recovery gains do not sustain themselves; they require visible, real-time measurement and a fixed cadence of accountability. Leading supplier performance management practice centers on a small set of weighted metrics, summarized below.</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27"/>
        <w:gridCol w:w="4391"/>
        <w:gridCol w:w="2542"/>
      </w:tblGrid>
      <w:tr w:rsidR="007A2657" w14:paraId="4682F71E" w14:textId="77777777">
        <w:tblPrEx>
          <w:tblCellMar>
            <w:top w:w="0" w:type="dxa"/>
            <w:bottom w:w="0" w:type="dxa"/>
          </w:tblCellMar>
        </w:tblPrEx>
        <w:trPr>
          <w:tblHeader/>
        </w:trPr>
        <w:tc>
          <w:tcPr>
            <w:tcW w:w="0" w:type="auto"/>
            <w:shd w:val="clear" w:color="auto" w:fill="0B1A2A"/>
            <w:tcMar>
              <w:top w:w="100" w:type="dxa"/>
              <w:left w:w="120" w:type="dxa"/>
              <w:bottom w:w="100" w:type="dxa"/>
              <w:right w:w="120" w:type="dxa"/>
            </w:tcMar>
            <w:vAlign w:val="center"/>
          </w:tcPr>
          <w:p w14:paraId="643E2AF3" w14:textId="77777777" w:rsidR="007A2657" w:rsidRDefault="00000000">
            <w:r>
              <w:rPr>
                <w:b/>
                <w:bCs/>
                <w:color w:val="FFFFFF"/>
                <w:sz w:val="20"/>
                <w:szCs w:val="20"/>
              </w:rPr>
              <w:t>Metric</w:t>
            </w:r>
          </w:p>
        </w:tc>
        <w:tc>
          <w:tcPr>
            <w:tcW w:w="0" w:type="auto"/>
            <w:shd w:val="clear" w:color="auto" w:fill="0B1A2A"/>
            <w:tcMar>
              <w:top w:w="100" w:type="dxa"/>
              <w:left w:w="120" w:type="dxa"/>
              <w:bottom w:w="100" w:type="dxa"/>
              <w:right w:w="120" w:type="dxa"/>
            </w:tcMar>
            <w:vAlign w:val="center"/>
          </w:tcPr>
          <w:p w14:paraId="40028704" w14:textId="77777777" w:rsidR="007A2657" w:rsidRDefault="00000000">
            <w:r>
              <w:rPr>
                <w:b/>
                <w:bCs/>
                <w:color w:val="FFFFFF"/>
                <w:sz w:val="20"/>
                <w:szCs w:val="20"/>
              </w:rPr>
              <w:t>What It Measures</w:t>
            </w:r>
          </w:p>
        </w:tc>
        <w:tc>
          <w:tcPr>
            <w:tcW w:w="0" w:type="auto"/>
            <w:shd w:val="clear" w:color="auto" w:fill="0B1A2A"/>
            <w:tcMar>
              <w:top w:w="100" w:type="dxa"/>
              <w:left w:w="120" w:type="dxa"/>
              <w:bottom w:w="100" w:type="dxa"/>
              <w:right w:w="120" w:type="dxa"/>
            </w:tcMar>
            <w:vAlign w:val="center"/>
          </w:tcPr>
          <w:p w14:paraId="3C027D05" w14:textId="77777777" w:rsidR="007A2657" w:rsidRDefault="00000000">
            <w:r>
              <w:rPr>
                <w:b/>
                <w:bCs/>
                <w:color w:val="FFFFFF"/>
                <w:sz w:val="20"/>
                <w:szCs w:val="20"/>
              </w:rPr>
              <w:t>Illustrative Target</w:t>
            </w:r>
          </w:p>
        </w:tc>
      </w:tr>
      <w:tr w:rsidR="007A2657" w14:paraId="53998307" w14:textId="77777777">
        <w:tblPrEx>
          <w:tblCellMar>
            <w:top w:w="0" w:type="dxa"/>
            <w:bottom w:w="0" w:type="dxa"/>
          </w:tblCellMar>
        </w:tblPrEx>
        <w:tc>
          <w:tcPr>
            <w:tcW w:w="0" w:type="auto"/>
            <w:shd w:val="clear" w:color="auto" w:fill="F2F2F2"/>
            <w:tcMar>
              <w:top w:w="100" w:type="dxa"/>
              <w:left w:w="120" w:type="dxa"/>
              <w:bottom w:w="100" w:type="dxa"/>
              <w:right w:w="120" w:type="dxa"/>
            </w:tcMar>
          </w:tcPr>
          <w:p w14:paraId="294F0C9F" w14:textId="77777777" w:rsidR="007A2657" w:rsidRDefault="00000000">
            <w:r>
              <w:rPr>
                <w:b/>
                <w:bCs/>
                <w:sz w:val="20"/>
                <w:szCs w:val="20"/>
              </w:rPr>
              <w:t>On-Time Delivery / On-Time-In-Full</w:t>
            </w:r>
          </w:p>
        </w:tc>
        <w:tc>
          <w:tcPr>
            <w:tcW w:w="0" w:type="auto"/>
            <w:shd w:val="clear" w:color="auto" w:fill="FFFFFF"/>
            <w:tcMar>
              <w:top w:w="100" w:type="dxa"/>
              <w:left w:w="120" w:type="dxa"/>
              <w:bottom w:w="100" w:type="dxa"/>
              <w:right w:w="120" w:type="dxa"/>
            </w:tcMar>
          </w:tcPr>
          <w:p w14:paraId="58A3F79E" w14:textId="77777777" w:rsidR="007A2657" w:rsidRDefault="00000000">
            <w:r>
              <w:rPr>
                <w:sz w:val="20"/>
                <w:szCs w:val="20"/>
              </w:rPr>
              <w:t>Percentage of shipments received complete and on schedule</w:t>
            </w:r>
          </w:p>
        </w:tc>
        <w:tc>
          <w:tcPr>
            <w:tcW w:w="0" w:type="auto"/>
            <w:shd w:val="clear" w:color="auto" w:fill="FFFFFF"/>
            <w:tcMar>
              <w:top w:w="100" w:type="dxa"/>
              <w:left w:w="120" w:type="dxa"/>
              <w:bottom w:w="100" w:type="dxa"/>
              <w:right w:w="120" w:type="dxa"/>
            </w:tcMar>
          </w:tcPr>
          <w:p w14:paraId="255F49A8" w14:textId="77777777" w:rsidR="007A2657" w:rsidRDefault="00000000">
            <w:r>
              <w:rPr>
                <w:sz w:val="20"/>
                <w:szCs w:val="20"/>
              </w:rPr>
              <w:t>≥ 95–98%</w:t>
            </w:r>
          </w:p>
        </w:tc>
      </w:tr>
      <w:tr w:rsidR="007A2657" w14:paraId="6D32F336" w14:textId="77777777">
        <w:tblPrEx>
          <w:tblCellMar>
            <w:top w:w="0" w:type="dxa"/>
            <w:bottom w:w="0" w:type="dxa"/>
          </w:tblCellMar>
        </w:tblPrEx>
        <w:tc>
          <w:tcPr>
            <w:tcW w:w="0" w:type="auto"/>
            <w:shd w:val="clear" w:color="auto" w:fill="F2F2F2"/>
            <w:tcMar>
              <w:top w:w="100" w:type="dxa"/>
              <w:left w:w="120" w:type="dxa"/>
              <w:bottom w:w="100" w:type="dxa"/>
              <w:right w:w="120" w:type="dxa"/>
            </w:tcMar>
          </w:tcPr>
          <w:p w14:paraId="43448AF2" w14:textId="77777777" w:rsidR="007A2657" w:rsidRDefault="00000000">
            <w:r>
              <w:rPr>
                <w:b/>
                <w:bCs/>
                <w:sz w:val="20"/>
                <w:szCs w:val="20"/>
              </w:rPr>
              <w:t>Defect Rate (PPM)</w:t>
            </w:r>
          </w:p>
        </w:tc>
        <w:tc>
          <w:tcPr>
            <w:tcW w:w="0" w:type="auto"/>
            <w:shd w:val="clear" w:color="auto" w:fill="FFFFFF"/>
            <w:tcMar>
              <w:top w:w="100" w:type="dxa"/>
              <w:left w:w="120" w:type="dxa"/>
              <w:bottom w:w="100" w:type="dxa"/>
              <w:right w:w="120" w:type="dxa"/>
            </w:tcMar>
          </w:tcPr>
          <w:p w14:paraId="379332DE" w14:textId="77777777" w:rsidR="007A2657" w:rsidRDefault="00000000">
            <w:r>
              <w:rPr>
                <w:sz w:val="20"/>
                <w:szCs w:val="20"/>
              </w:rPr>
              <w:t>Nonconforming parts per million units inspected</w:t>
            </w:r>
          </w:p>
        </w:tc>
        <w:tc>
          <w:tcPr>
            <w:tcW w:w="0" w:type="auto"/>
            <w:shd w:val="clear" w:color="auto" w:fill="FFFFFF"/>
            <w:tcMar>
              <w:top w:w="100" w:type="dxa"/>
              <w:left w:w="120" w:type="dxa"/>
              <w:bottom w:w="100" w:type="dxa"/>
              <w:right w:w="120" w:type="dxa"/>
            </w:tcMar>
          </w:tcPr>
          <w:p w14:paraId="25133708" w14:textId="77777777" w:rsidR="007A2657" w:rsidRDefault="00000000">
            <w:r>
              <w:rPr>
                <w:sz w:val="20"/>
                <w:szCs w:val="20"/>
              </w:rPr>
              <w:t>≤ 250 PPM (program-dependent)</w:t>
            </w:r>
          </w:p>
        </w:tc>
      </w:tr>
      <w:tr w:rsidR="007A2657" w14:paraId="7654F786" w14:textId="77777777">
        <w:tblPrEx>
          <w:tblCellMar>
            <w:top w:w="0" w:type="dxa"/>
            <w:bottom w:w="0" w:type="dxa"/>
          </w:tblCellMar>
        </w:tblPrEx>
        <w:tc>
          <w:tcPr>
            <w:tcW w:w="0" w:type="auto"/>
            <w:shd w:val="clear" w:color="auto" w:fill="F2F2F2"/>
            <w:tcMar>
              <w:top w:w="100" w:type="dxa"/>
              <w:left w:w="120" w:type="dxa"/>
              <w:bottom w:w="100" w:type="dxa"/>
              <w:right w:w="120" w:type="dxa"/>
            </w:tcMar>
          </w:tcPr>
          <w:p w14:paraId="56A95F7E" w14:textId="77777777" w:rsidR="007A2657" w:rsidRDefault="00000000">
            <w:r>
              <w:rPr>
                <w:b/>
                <w:bCs/>
                <w:sz w:val="20"/>
                <w:szCs w:val="20"/>
              </w:rPr>
              <w:t>Corrective Action Cycle Time</w:t>
            </w:r>
          </w:p>
        </w:tc>
        <w:tc>
          <w:tcPr>
            <w:tcW w:w="0" w:type="auto"/>
            <w:shd w:val="clear" w:color="auto" w:fill="FFFFFF"/>
            <w:tcMar>
              <w:top w:w="100" w:type="dxa"/>
              <w:left w:w="120" w:type="dxa"/>
              <w:bottom w:w="100" w:type="dxa"/>
              <w:right w:w="120" w:type="dxa"/>
            </w:tcMar>
          </w:tcPr>
          <w:p w14:paraId="3AC14ECC" w14:textId="77777777" w:rsidR="007A2657" w:rsidRDefault="00000000">
            <w:r>
              <w:rPr>
                <w:sz w:val="20"/>
                <w:szCs w:val="20"/>
              </w:rPr>
              <w:t>Days from nonconformance identification to validated permanent fix</w:t>
            </w:r>
          </w:p>
        </w:tc>
        <w:tc>
          <w:tcPr>
            <w:tcW w:w="0" w:type="auto"/>
            <w:shd w:val="clear" w:color="auto" w:fill="FFFFFF"/>
            <w:tcMar>
              <w:top w:w="100" w:type="dxa"/>
              <w:left w:w="120" w:type="dxa"/>
              <w:bottom w:w="100" w:type="dxa"/>
              <w:right w:w="120" w:type="dxa"/>
            </w:tcMar>
          </w:tcPr>
          <w:p w14:paraId="24F8C2C6" w14:textId="77777777" w:rsidR="007A2657" w:rsidRDefault="00000000">
            <w:r>
              <w:rPr>
                <w:sz w:val="20"/>
                <w:szCs w:val="20"/>
              </w:rPr>
              <w:t>Trending downward, tracked monthly</w:t>
            </w:r>
          </w:p>
        </w:tc>
      </w:tr>
      <w:tr w:rsidR="007A2657" w14:paraId="68A4D6F0" w14:textId="77777777">
        <w:tblPrEx>
          <w:tblCellMar>
            <w:top w:w="0" w:type="dxa"/>
            <w:bottom w:w="0" w:type="dxa"/>
          </w:tblCellMar>
        </w:tblPrEx>
        <w:tc>
          <w:tcPr>
            <w:tcW w:w="0" w:type="auto"/>
            <w:shd w:val="clear" w:color="auto" w:fill="F2F2F2"/>
            <w:tcMar>
              <w:top w:w="100" w:type="dxa"/>
              <w:left w:w="120" w:type="dxa"/>
              <w:bottom w:w="100" w:type="dxa"/>
              <w:right w:w="120" w:type="dxa"/>
            </w:tcMar>
          </w:tcPr>
          <w:p w14:paraId="34A8C877" w14:textId="77777777" w:rsidR="007A2657" w:rsidRDefault="00000000">
            <w:r>
              <w:rPr>
                <w:b/>
                <w:bCs/>
                <w:sz w:val="20"/>
                <w:szCs w:val="20"/>
              </w:rPr>
              <w:t>Process / Audit Adherence Score</w:t>
            </w:r>
          </w:p>
        </w:tc>
        <w:tc>
          <w:tcPr>
            <w:tcW w:w="0" w:type="auto"/>
            <w:shd w:val="clear" w:color="auto" w:fill="FFFFFF"/>
            <w:tcMar>
              <w:top w:w="100" w:type="dxa"/>
              <w:left w:w="120" w:type="dxa"/>
              <w:bottom w:w="100" w:type="dxa"/>
              <w:right w:w="120" w:type="dxa"/>
            </w:tcMar>
          </w:tcPr>
          <w:p w14:paraId="4A1F4F94" w14:textId="77777777" w:rsidR="007A2657" w:rsidRDefault="00000000">
            <w:r>
              <w:rPr>
                <w:sz w:val="20"/>
                <w:szCs w:val="20"/>
              </w:rPr>
              <w:t>Compliance with flow-down, calibration, and procedural requirements</w:t>
            </w:r>
          </w:p>
        </w:tc>
        <w:tc>
          <w:tcPr>
            <w:tcW w:w="0" w:type="auto"/>
            <w:shd w:val="clear" w:color="auto" w:fill="FFFFFF"/>
            <w:tcMar>
              <w:top w:w="100" w:type="dxa"/>
              <w:left w:w="120" w:type="dxa"/>
              <w:bottom w:w="100" w:type="dxa"/>
              <w:right w:w="120" w:type="dxa"/>
            </w:tcMar>
          </w:tcPr>
          <w:p w14:paraId="2E3CAC25" w14:textId="77777777" w:rsidR="007A2657" w:rsidRDefault="00000000">
            <w:r>
              <w:rPr>
                <w:sz w:val="20"/>
                <w:szCs w:val="20"/>
              </w:rPr>
              <w:t>≥ 90%</w:t>
            </w:r>
          </w:p>
        </w:tc>
      </w:tr>
    </w:tbl>
    <w:p w14:paraId="16D6AAAE" w14:textId="77777777" w:rsidR="007A2657" w:rsidRDefault="00000000">
      <w:pPr>
        <w:spacing w:before="80" w:after="240"/>
      </w:pPr>
      <w:r>
        <w:rPr>
          <w:i/>
          <w:iCs/>
          <w:color w:val="595959"/>
          <w:sz w:val="18"/>
          <w:szCs w:val="18"/>
        </w:rPr>
        <w:t>Table 1. Illustrative supplier scorecard metrics and targets. Specific thresholds should be calibrated to program criticality and part complexity.</w:t>
      </w:r>
    </w:p>
    <w:p w14:paraId="445E817E" w14:textId="77777777" w:rsidR="007A2657" w:rsidRDefault="00000000">
      <w:pPr>
        <w:spacing w:after="200" w:line="288" w:lineRule="auto"/>
        <w:jc w:val="both"/>
      </w:pPr>
      <w:r>
        <w:t>Illustrative industry benchmarks are reviewed against real-time dashboards, monthly operational reviews, and quarterly business reviews with supplier leadership. In aerospace applications, quality-related metrics are often weighted most heavily in the overall scorecard, reflecting the outsized cost of a single nonconformance that escapes to the customer. The specific numeric targets matter less than the discipline of measuring consistently, in near-real time, and reviewing the results at a fixed cadence with the people who can act on them. A dashboard that surfaces a negative trend in week three, rather than a customer complaint in month three, is what converts a recovery plan from a one-time intervention into a sustained capability.</w:t>
      </w:r>
    </w:p>
    <w:p w14:paraId="789AA606" w14:textId="77777777" w:rsidR="007A2657" w:rsidRDefault="00000000">
      <w:pPr>
        <w:pStyle w:val="Heading1"/>
        <w:pBdr>
          <w:bottom w:val="single" w:sz="6" w:space="4" w:color="F5A83D"/>
        </w:pBdr>
        <w:spacing w:before="480" w:after="200"/>
      </w:pPr>
      <w:r>
        <w:rPr>
          <w:rFonts w:ascii="Cambria" w:eastAsia="Cambria" w:hAnsi="Cambria" w:cs="Cambria"/>
          <w:b/>
          <w:bCs/>
          <w:color w:val="0B1A2A"/>
          <w:sz w:val="30"/>
          <w:szCs w:val="30"/>
        </w:rPr>
        <w:lastRenderedPageBreak/>
        <w:t>8. The Financial Case for Supplier Recovery</w:t>
      </w:r>
    </w:p>
    <w:p w14:paraId="5FE0198E" w14:textId="77777777" w:rsidR="007A2657" w:rsidRDefault="00000000">
      <w:pPr>
        <w:spacing w:after="200" w:line="288" w:lineRule="auto"/>
        <w:jc w:val="both"/>
      </w:pPr>
      <w:r>
        <w:t>The investment case for structured supplier recovery is not speculative. Cost of poor quality, the sum of internal failure costs (scrap, rework, extra inspection), external failure costs (returns, concessions, penalties, reputational damage), and appraisal costs, commonly runs between 5 and 30 percent of gross sales in manufacturing organizations, and can reach considerably higher in industries with the stringent requirements typical of defense and aerospace work. Industry estimates suggest supplier-related defects account for 30 to 50 percent of quality issues in aerospace manufacturing specifically.</w:t>
      </w:r>
    </w:p>
    <w:p w14:paraId="334153A6" w14:textId="77777777" w:rsidR="007A2657" w:rsidRDefault="00000000">
      <w:pPr>
        <w:spacing w:after="200" w:line="288" w:lineRule="auto"/>
        <w:jc w:val="both"/>
      </w:pPr>
      <w:r>
        <w:t>The cost of disruption itself is also well documented. A 2025 industry risk survey found that roughly 30 percent of supplier disruptions cost the affected organization more than $5 million each, that 16 percent exceed $10 million per event, and that more than 80 percent of respondent organizations had been materially affected by a supplier disruption within the prior two years. Against that backdrop, structured recovery and development programs that address underperformance directly are reported to reduce related costs by roughly 5 to 10 percent, a return that, for any program of meaningful size, comfortably justifies the cost of a dedicated recovery effort.</w:t>
      </w:r>
    </w:p>
    <w:p w14:paraId="6C32D2D4" w14:textId="77777777" w:rsidR="007A2657" w:rsidRDefault="00000000">
      <w:pPr>
        <w:pStyle w:val="Heading1"/>
        <w:pBdr>
          <w:bottom w:val="single" w:sz="6" w:space="4" w:color="F5A83D"/>
        </w:pBdr>
        <w:spacing w:before="480" w:after="200"/>
      </w:pPr>
      <w:r>
        <w:rPr>
          <w:rFonts w:ascii="Cambria" w:eastAsia="Cambria" w:hAnsi="Cambria" w:cs="Cambria"/>
          <w:b/>
          <w:bCs/>
          <w:color w:val="0B1A2A"/>
          <w:sz w:val="30"/>
          <w:szCs w:val="30"/>
        </w:rPr>
        <w:t>9. Contractual Mechanisms: Flow-Down and Regulatory Requirements</w:t>
      </w:r>
    </w:p>
    <w:p w14:paraId="74CF12D0" w14:textId="77777777" w:rsidR="007A2657" w:rsidRDefault="00000000">
      <w:pPr>
        <w:spacing w:after="200" w:line="288" w:lineRule="auto"/>
        <w:jc w:val="both"/>
      </w:pPr>
      <w:r>
        <w:t>Technical and quality fixes are only durable if they are anchored in the contract. For defense work specifically, Defense Federal Acquisition Regulation Supplement (DFARS) clauses frequently carry explicit flow-down requirements, meaning a prime contractor is obligated to insert equivalent requirements into its subcontracts at every tier. A supplier several tiers removed from the government customer can be bound by requirements it has never directly negotiated. DFARS also imposes specific obligations relevant to component recovery, including counterfeit-parts detection and avoidance systems and a defined hierarchy of acceptable part sources for electronic components, both of which typically carry unallowable-cost consequences when violated. Separately, DFARS purchasing-system requirements direct contractors to maintain a documented process for selecting subcontract sources that promotes competitive sourcing among dependable suppliers. This is the regulatory foundation for rebuilding a rigorous contract review and source-selection process as part of any recovery plan.</w:t>
      </w:r>
    </w:p>
    <w:p w14:paraId="4711A2E2" w14:textId="77777777" w:rsidR="007A2657" w:rsidRDefault="00000000">
      <w:pPr>
        <w:spacing w:after="200" w:line="288" w:lineRule="auto"/>
        <w:jc w:val="both"/>
      </w:pPr>
      <w:r>
        <w:t>Rebuilding this contractual discipline, including clear flow-down of quality and sourcing requirements, documented source selection, and enforceable audit rights, closes the loop between the technical corrective actions described earlier in this paper and the legal mechanisms needed to hold a recovering supplier, and its own sub-tier suppliers, accountable going forward.</w:t>
      </w:r>
    </w:p>
    <w:p w14:paraId="0AA2928B" w14:textId="77777777" w:rsidR="007A2657" w:rsidRDefault="00000000">
      <w:pPr>
        <w:pStyle w:val="Heading1"/>
        <w:pBdr>
          <w:bottom w:val="single" w:sz="6" w:space="4" w:color="F5A83D"/>
        </w:pBdr>
        <w:spacing w:before="480" w:after="200"/>
      </w:pPr>
      <w:r>
        <w:rPr>
          <w:rFonts w:ascii="Cambria" w:eastAsia="Cambria" w:hAnsi="Cambria" w:cs="Cambria"/>
          <w:b/>
          <w:bCs/>
          <w:color w:val="0B1A2A"/>
          <w:sz w:val="30"/>
          <w:szCs w:val="30"/>
        </w:rPr>
        <w:t>10. A Four-Stage Recovery Framework</w:t>
      </w:r>
    </w:p>
    <w:p w14:paraId="19DC9B31" w14:textId="77777777" w:rsidR="007A2657" w:rsidRDefault="00000000">
      <w:pPr>
        <w:spacing w:after="200" w:line="288" w:lineRule="auto"/>
        <w:jc w:val="both"/>
      </w:pPr>
      <w:r>
        <w:lastRenderedPageBreak/>
        <w:t>Bringing the preceding elements together, we recommend a four-stage framework for recovering a critical supplier and reducing the risk it poses to program schedules.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54"/>
        <w:gridCol w:w="1514"/>
        <w:gridCol w:w="3074"/>
        <w:gridCol w:w="2518"/>
      </w:tblGrid>
      <w:tr w:rsidR="007A2657" w14:paraId="03221A05" w14:textId="77777777">
        <w:tblPrEx>
          <w:tblCellMar>
            <w:top w:w="0" w:type="dxa"/>
            <w:bottom w:w="0" w:type="dxa"/>
          </w:tblCellMar>
        </w:tblPrEx>
        <w:trPr>
          <w:tblHeader/>
        </w:trPr>
        <w:tc>
          <w:tcPr>
            <w:tcW w:w="0" w:type="auto"/>
            <w:shd w:val="clear" w:color="auto" w:fill="0B1A2A"/>
            <w:tcMar>
              <w:top w:w="100" w:type="dxa"/>
              <w:left w:w="120" w:type="dxa"/>
              <w:bottom w:w="100" w:type="dxa"/>
              <w:right w:w="120" w:type="dxa"/>
            </w:tcMar>
            <w:vAlign w:val="center"/>
          </w:tcPr>
          <w:p w14:paraId="3F3A5F39" w14:textId="77777777" w:rsidR="007A2657" w:rsidRDefault="00000000">
            <w:r>
              <w:rPr>
                <w:b/>
                <w:bCs/>
                <w:color w:val="FFFFFF"/>
                <w:sz w:val="19"/>
                <w:szCs w:val="19"/>
              </w:rPr>
              <w:t>Stage</w:t>
            </w:r>
          </w:p>
        </w:tc>
        <w:tc>
          <w:tcPr>
            <w:tcW w:w="0" w:type="auto"/>
            <w:shd w:val="clear" w:color="auto" w:fill="0B1A2A"/>
            <w:tcMar>
              <w:top w:w="100" w:type="dxa"/>
              <w:left w:w="120" w:type="dxa"/>
              <w:bottom w:w="100" w:type="dxa"/>
              <w:right w:w="120" w:type="dxa"/>
            </w:tcMar>
            <w:vAlign w:val="center"/>
          </w:tcPr>
          <w:p w14:paraId="3D63DEEE" w14:textId="77777777" w:rsidR="007A2657" w:rsidRDefault="00000000">
            <w:r>
              <w:rPr>
                <w:b/>
                <w:bCs/>
                <w:color w:val="FFFFFF"/>
                <w:sz w:val="19"/>
                <w:szCs w:val="19"/>
              </w:rPr>
              <w:t>Timeframe</w:t>
            </w:r>
          </w:p>
        </w:tc>
        <w:tc>
          <w:tcPr>
            <w:tcW w:w="0" w:type="auto"/>
            <w:shd w:val="clear" w:color="auto" w:fill="0B1A2A"/>
            <w:tcMar>
              <w:top w:w="100" w:type="dxa"/>
              <w:left w:w="120" w:type="dxa"/>
              <w:bottom w:w="100" w:type="dxa"/>
              <w:right w:w="120" w:type="dxa"/>
            </w:tcMar>
            <w:vAlign w:val="center"/>
          </w:tcPr>
          <w:p w14:paraId="3B6C2667" w14:textId="77777777" w:rsidR="007A2657" w:rsidRDefault="00000000">
            <w:r>
              <w:rPr>
                <w:b/>
                <w:bCs/>
                <w:color w:val="FFFFFF"/>
                <w:sz w:val="19"/>
                <w:szCs w:val="19"/>
              </w:rPr>
              <w:t>Primary Actions</w:t>
            </w:r>
          </w:p>
        </w:tc>
        <w:tc>
          <w:tcPr>
            <w:tcW w:w="0" w:type="auto"/>
            <w:shd w:val="clear" w:color="auto" w:fill="0B1A2A"/>
            <w:tcMar>
              <w:top w:w="100" w:type="dxa"/>
              <w:left w:w="120" w:type="dxa"/>
              <w:bottom w:w="100" w:type="dxa"/>
              <w:right w:w="120" w:type="dxa"/>
            </w:tcMar>
            <w:vAlign w:val="center"/>
          </w:tcPr>
          <w:p w14:paraId="3F0A245F" w14:textId="77777777" w:rsidR="007A2657" w:rsidRDefault="00000000">
            <w:r>
              <w:rPr>
                <w:b/>
                <w:bCs/>
                <w:color w:val="FFFFFF"/>
                <w:sz w:val="19"/>
                <w:szCs w:val="19"/>
              </w:rPr>
              <w:t>Exit Target</w:t>
            </w:r>
          </w:p>
        </w:tc>
      </w:tr>
      <w:tr w:rsidR="007A2657" w14:paraId="15A22507" w14:textId="77777777">
        <w:tblPrEx>
          <w:tblCellMar>
            <w:top w:w="0" w:type="dxa"/>
            <w:bottom w:w="0" w:type="dxa"/>
          </w:tblCellMar>
        </w:tblPrEx>
        <w:tc>
          <w:tcPr>
            <w:tcW w:w="0" w:type="auto"/>
            <w:shd w:val="clear" w:color="auto" w:fill="F2F2F2"/>
            <w:tcMar>
              <w:top w:w="100" w:type="dxa"/>
              <w:left w:w="120" w:type="dxa"/>
              <w:bottom w:w="100" w:type="dxa"/>
              <w:right w:w="120" w:type="dxa"/>
            </w:tcMar>
          </w:tcPr>
          <w:p w14:paraId="4E4CEC8F" w14:textId="77777777" w:rsidR="007A2657" w:rsidRDefault="00000000">
            <w:r>
              <w:rPr>
                <w:b/>
                <w:bCs/>
                <w:sz w:val="19"/>
                <w:szCs w:val="19"/>
              </w:rPr>
              <w:t>1. Stabilize &amp; Contain</w:t>
            </w:r>
          </w:p>
        </w:tc>
        <w:tc>
          <w:tcPr>
            <w:tcW w:w="0" w:type="auto"/>
            <w:shd w:val="clear" w:color="auto" w:fill="FFFFFF"/>
            <w:tcMar>
              <w:top w:w="100" w:type="dxa"/>
              <w:left w:w="120" w:type="dxa"/>
              <w:bottom w:w="100" w:type="dxa"/>
              <w:right w:w="120" w:type="dxa"/>
            </w:tcMar>
          </w:tcPr>
          <w:p w14:paraId="781C135F" w14:textId="77777777" w:rsidR="007A2657" w:rsidRDefault="00000000">
            <w:r>
              <w:rPr>
                <w:sz w:val="19"/>
                <w:szCs w:val="19"/>
              </w:rPr>
              <w:t>0–30 days</w:t>
            </w:r>
          </w:p>
        </w:tc>
        <w:tc>
          <w:tcPr>
            <w:tcW w:w="0" w:type="auto"/>
            <w:shd w:val="clear" w:color="auto" w:fill="FFFFFF"/>
            <w:tcMar>
              <w:top w:w="100" w:type="dxa"/>
              <w:left w:w="120" w:type="dxa"/>
              <w:bottom w:w="100" w:type="dxa"/>
              <w:right w:w="120" w:type="dxa"/>
            </w:tcMar>
          </w:tcPr>
          <w:p w14:paraId="68202A28" w14:textId="77777777" w:rsidR="007A2657" w:rsidRDefault="00000000">
            <w:r>
              <w:rPr>
                <w:sz w:val="19"/>
                <w:szCs w:val="19"/>
              </w:rPr>
              <w:t>8D root cause launch; interim 100% or source inspection</w:t>
            </w:r>
          </w:p>
        </w:tc>
        <w:tc>
          <w:tcPr>
            <w:tcW w:w="0" w:type="auto"/>
            <w:shd w:val="clear" w:color="auto" w:fill="FFFFFF"/>
            <w:tcMar>
              <w:top w:w="100" w:type="dxa"/>
              <w:left w:w="120" w:type="dxa"/>
              <w:bottom w:w="100" w:type="dxa"/>
              <w:right w:w="120" w:type="dxa"/>
            </w:tcMar>
          </w:tcPr>
          <w:p w14:paraId="34FE2A1B" w14:textId="77777777" w:rsidR="007A2657" w:rsidRDefault="00000000">
            <w:r>
              <w:rPr>
                <w:sz w:val="19"/>
                <w:szCs w:val="19"/>
              </w:rPr>
              <w:t>Verified root cause; containment active</w:t>
            </w:r>
          </w:p>
        </w:tc>
      </w:tr>
      <w:tr w:rsidR="007A2657" w14:paraId="2C716BF6" w14:textId="77777777">
        <w:tblPrEx>
          <w:tblCellMar>
            <w:top w:w="0" w:type="dxa"/>
            <w:bottom w:w="0" w:type="dxa"/>
          </w:tblCellMar>
        </w:tblPrEx>
        <w:tc>
          <w:tcPr>
            <w:tcW w:w="0" w:type="auto"/>
            <w:shd w:val="clear" w:color="auto" w:fill="F2F2F2"/>
            <w:tcMar>
              <w:top w:w="100" w:type="dxa"/>
              <w:left w:w="120" w:type="dxa"/>
              <w:bottom w:w="100" w:type="dxa"/>
              <w:right w:w="120" w:type="dxa"/>
            </w:tcMar>
          </w:tcPr>
          <w:p w14:paraId="08734182" w14:textId="77777777" w:rsidR="007A2657" w:rsidRDefault="00000000">
            <w:r>
              <w:rPr>
                <w:b/>
                <w:bCs/>
                <w:sz w:val="19"/>
                <w:szCs w:val="19"/>
              </w:rPr>
              <w:t>2. Corrective Action &amp; Requalification</w:t>
            </w:r>
          </w:p>
        </w:tc>
        <w:tc>
          <w:tcPr>
            <w:tcW w:w="0" w:type="auto"/>
            <w:shd w:val="clear" w:color="auto" w:fill="FFFFFF"/>
            <w:tcMar>
              <w:top w:w="100" w:type="dxa"/>
              <w:left w:w="120" w:type="dxa"/>
              <w:bottom w:w="100" w:type="dxa"/>
              <w:right w:w="120" w:type="dxa"/>
            </w:tcMar>
          </w:tcPr>
          <w:p w14:paraId="48A4C209" w14:textId="77777777" w:rsidR="007A2657" w:rsidRDefault="00000000">
            <w:r>
              <w:rPr>
                <w:sz w:val="19"/>
                <w:szCs w:val="19"/>
              </w:rPr>
              <w:t>30–120 days</w:t>
            </w:r>
          </w:p>
        </w:tc>
        <w:tc>
          <w:tcPr>
            <w:tcW w:w="0" w:type="auto"/>
            <w:shd w:val="clear" w:color="auto" w:fill="FFFFFF"/>
            <w:tcMar>
              <w:top w:w="100" w:type="dxa"/>
              <w:left w:w="120" w:type="dxa"/>
              <w:bottom w:w="100" w:type="dxa"/>
              <w:right w:w="120" w:type="dxa"/>
            </w:tcMar>
          </w:tcPr>
          <w:p w14:paraId="73B4BABE" w14:textId="77777777" w:rsidR="007A2657" w:rsidRDefault="00000000">
            <w:r>
              <w:rPr>
                <w:sz w:val="19"/>
                <w:szCs w:val="19"/>
              </w:rPr>
              <w:t>Calibration, training, process fix; AS9102 FAI; rebuild flow-down</w:t>
            </w:r>
          </w:p>
        </w:tc>
        <w:tc>
          <w:tcPr>
            <w:tcW w:w="0" w:type="auto"/>
            <w:shd w:val="clear" w:color="auto" w:fill="FFFFFF"/>
            <w:tcMar>
              <w:top w:w="100" w:type="dxa"/>
              <w:left w:w="120" w:type="dxa"/>
              <w:bottom w:w="100" w:type="dxa"/>
              <w:right w:w="120" w:type="dxa"/>
            </w:tcMar>
          </w:tcPr>
          <w:p w14:paraId="776D054E" w14:textId="77777777" w:rsidR="007A2657" w:rsidRDefault="00000000">
            <w:r>
              <w:rPr>
                <w:sz w:val="19"/>
                <w:szCs w:val="19"/>
              </w:rPr>
              <w:t>FAI passed; defects trending to target</w:t>
            </w:r>
          </w:p>
        </w:tc>
      </w:tr>
      <w:tr w:rsidR="007A2657" w14:paraId="06F3CC15" w14:textId="77777777">
        <w:tblPrEx>
          <w:tblCellMar>
            <w:top w:w="0" w:type="dxa"/>
            <w:bottom w:w="0" w:type="dxa"/>
          </w:tblCellMar>
        </w:tblPrEx>
        <w:tc>
          <w:tcPr>
            <w:tcW w:w="0" w:type="auto"/>
            <w:shd w:val="clear" w:color="auto" w:fill="F2F2F2"/>
            <w:tcMar>
              <w:top w:w="100" w:type="dxa"/>
              <w:left w:w="120" w:type="dxa"/>
              <w:bottom w:w="100" w:type="dxa"/>
              <w:right w:w="120" w:type="dxa"/>
            </w:tcMar>
          </w:tcPr>
          <w:p w14:paraId="16478221" w14:textId="77777777" w:rsidR="007A2657" w:rsidRDefault="00000000">
            <w:r>
              <w:rPr>
                <w:b/>
                <w:bCs/>
                <w:sz w:val="19"/>
                <w:szCs w:val="19"/>
              </w:rPr>
              <w:t>3. Develop &amp; Monitor</w:t>
            </w:r>
          </w:p>
        </w:tc>
        <w:tc>
          <w:tcPr>
            <w:tcW w:w="0" w:type="auto"/>
            <w:shd w:val="clear" w:color="auto" w:fill="FFFFFF"/>
            <w:tcMar>
              <w:top w:w="100" w:type="dxa"/>
              <w:left w:w="120" w:type="dxa"/>
              <w:bottom w:w="100" w:type="dxa"/>
              <w:right w:w="120" w:type="dxa"/>
            </w:tcMar>
          </w:tcPr>
          <w:p w14:paraId="5057E396" w14:textId="77777777" w:rsidR="007A2657" w:rsidRDefault="00000000">
            <w:r>
              <w:rPr>
                <w:sz w:val="19"/>
                <w:szCs w:val="19"/>
              </w:rPr>
              <w:t>Ongoing</w:t>
            </w:r>
          </w:p>
        </w:tc>
        <w:tc>
          <w:tcPr>
            <w:tcW w:w="0" w:type="auto"/>
            <w:shd w:val="clear" w:color="auto" w:fill="FFFFFF"/>
            <w:tcMar>
              <w:top w:w="100" w:type="dxa"/>
              <w:left w:w="120" w:type="dxa"/>
              <w:bottom w:w="100" w:type="dxa"/>
              <w:right w:w="120" w:type="dxa"/>
            </w:tcMar>
          </w:tcPr>
          <w:p w14:paraId="56C2C2CA" w14:textId="77777777" w:rsidR="007A2657" w:rsidRDefault="00000000">
            <w:r>
              <w:rPr>
                <w:sz w:val="19"/>
                <w:szCs w:val="19"/>
              </w:rPr>
              <w:t>Real-time dashboards; supplier development investment</w:t>
            </w:r>
          </w:p>
        </w:tc>
        <w:tc>
          <w:tcPr>
            <w:tcW w:w="0" w:type="auto"/>
            <w:shd w:val="clear" w:color="auto" w:fill="FFFFFF"/>
            <w:tcMar>
              <w:top w:w="100" w:type="dxa"/>
              <w:left w:w="120" w:type="dxa"/>
              <w:bottom w:w="100" w:type="dxa"/>
              <w:right w:w="120" w:type="dxa"/>
            </w:tcMar>
          </w:tcPr>
          <w:p w14:paraId="08B79C4C" w14:textId="77777777" w:rsidR="007A2657" w:rsidRDefault="00000000">
            <w:r>
              <w:rPr>
                <w:sz w:val="19"/>
                <w:szCs w:val="19"/>
              </w:rPr>
              <w:t>Target performance for 2 consecutive quarters</w:t>
            </w:r>
          </w:p>
        </w:tc>
      </w:tr>
      <w:tr w:rsidR="007A2657" w14:paraId="6F2F1524" w14:textId="77777777">
        <w:tblPrEx>
          <w:tblCellMar>
            <w:top w:w="0" w:type="dxa"/>
            <w:bottom w:w="0" w:type="dxa"/>
          </w:tblCellMar>
        </w:tblPrEx>
        <w:tc>
          <w:tcPr>
            <w:tcW w:w="0" w:type="auto"/>
            <w:shd w:val="clear" w:color="auto" w:fill="F2F2F2"/>
            <w:tcMar>
              <w:top w:w="100" w:type="dxa"/>
              <w:left w:w="120" w:type="dxa"/>
              <w:bottom w:w="100" w:type="dxa"/>
              <w:right w:w="120" w:type="dxa"/>
            </w:tcMar>
          </w:tcPr>
          <w:p w14:paraId="51E8E525" w14:textId="77777777" w:rsidR="007A2657" w:rsidRDefault="00000000">
            <w:r>
              <w:rPr>
                <w:b/>
                <w:bCs/>
                <w:sz w:val="19"/>
                <w:szCs w:val="19"/>
              </w:rPr>
              <w:t>4. De-Risk Structurally</w:t>
            </w:r>
          </w:p>
        </w:tc>
        <w:tc>
          <w:tcPr>
            <w:tcW w:w="0" w:type="auto"/>
            <w:shd w:val="clear" w:color="auto" w:fill="FFFFFF"/>
            <w:tcMar>
              <w:top w:w="100" w:type="dxa"/>
              <w:left w:w="120" w:type="dxa"/>
              <w:bottom w:w="100" w:type="dxa"/>
              <w:right w:w="120" w:type="dxa"/>
            </w:tcMar>
          </w:tcPr>
          <w:p w14:paraId="6EAB9A06" w14:textId="77777777" w:rsidR="007A2657" w:rsidRDefault="00000000">
            <w:r>
              <w:rPr>
                <w:sz w:val="19"/>
                <w:szCs w:val="19"/>
              </w:rPr>
              <w:t>6–18 months (parallel)</w:t>
            </w:r>
          </w:p>
        </w:tc>
        <w:tc>
          <w:tcPr>
            <w:tcW w:w="0" w:type="auto"/>
            <w:shd w:val="clear" w:color="auto" w:fill="FFFFFF"/>
            <w:tcMar>
              <w:top w:w="100" w:type="dxa"/>
              <w:left w:w="120" w:type="dxa"/>
              <w:bottom w:w="100" w:type="dxa"/>
              <w:right w:w="120" w:type="dxa"/>
            </w:tcMar>
          </w:tcPr>
          <w:p w14:paraId="4840D35D" w14:textId="77777777" w:rsidR="007A2657" w:rsidRDefault="00000000">
            <w:r>
              <w:rPr>
                <w:sz w:val="19"/>
                <w:szCs w:val="19"/>
              </w:rPr>
              <w:t>Qualify alternate source or escalate industrial-base risk</w:t>
            </w:r>
          </w:p>
        </w:tc>
        <w:tc>
          <w:tcPr>
            <w:tcW w:w="0" w:type="auto"/>
            <w:shd w:val="clear" w:color="auto" w:fill="FFFFFF"/>
            <w:tcMar>
              <w:top w:w="100" w:type="dxa"/>
              <w:left w:w="120" w:type="dxa"/>
              <w:bottom w:w="100" w:type="dxa"/>
              <w:right w:w="120" w:type="dxa"/>
            </w:tcMar>
          </w:tcPr>
          <w:p w14:paraId="79F961EF" w14:textId="77777777" w:rsidR="007A2657" w:rsidRDefault="00000000">
            <w:r>
              <w:rPr>
                <w:sz w:val="19"/>
                <w:szCs w:val="19"/>
              </w:rPr>
              <w:t>Second source qualified or risk actively managed</w:t>
            </w:r>
          </w:p>
        </w:tc>
      </w:tr>
    </w:tbl>
    <w:p w14:paraId="7C4B0813" w14:textId="77777777" w:rsidR="007A2657" w:rsidRDefault="00000000">
      <w:pPr>
        <w:spacing w:before="80" w:after="240"/>
      </w:pPr>
      <w:r>
        <w:rPr>
          <w:i/>
          <w:iCs/>
          <w:color w:val="595959"/>
          <w:sz w:val="18"/>
          <w:szCs w:val="18"/>
        </w:rPr>
        <w:t>Table 2. A four-stage framework for critical supplier recovery.</w:t>
      </w:r>
    </w:p>
    <w:p w14:paraId="6581C6CC" w14:textId="77777777" w:rsidR="007A2657" w:rsidRDefault="00000000">
      <w:pPr>
        <w:spacing w:after="200" w:line="288" w:lineRule="auto"/>
        <w:jc w:val="both"/>
      </w:pPr>
      <w:r>
        <w:t>Programs that complete only Stages 1 and 2 typically see a temporary recovery that erodes once attention moves elsewhere. The evidence reviewed in this paper suggests Stages 3 and 4, sustained monitoring and development paired with structural de-risking, are what convert a one-time recovery into durable program resilience.</w:t>
      </w:r>
    </w:p>
    <w:p w14:paraId="3EB470BA" w14:textId="77777777" w:rsidR="007A2657" w:rsidRDefault="00000000">
      <w:pPr>
        <w:pStyle w:val="Heading1"/>
        <w:pBdr>
          <w:bottom w:val="single" w:sz="6" w:space="4" w:color="F5A83D"/>
        </w:pBdr>
        <w:spacing w:before="480" w:after="200"/>
      </w:pPr>
      <w:r>
        <w:rPr>
          <w:rFonts w:ascii="Cambria" w:eastAsia="Cambria" w:hAnsi="Cambria" w:cs="Cambria"/>
          <w:b/>
          <w:bCs/>
          <w:color w:val="0B1A2A"/>
          <w:sz w:val="30"/>
          <w:szCs w:val="30"/>
        </w:rPr>
        <w:t>11. Conclusion</w:t>
      </w:r>
    </w:p>
    <w:p w14:paraId="2B5569A3" w14:textId="77777777" w:rsidR="007A2657" w:rsidRDefault="00000000">
      <w:pPr>
        <w:spacing w:after="200" w:line="288" w:lineRule="auto"/>
        <w:jc w:val="both"/>
      </w:pPr>
      <w:r>
        <w:t>A critical supplier's failure is rarely, in the end, a supplier problem alone. It is a test of whether a program has the standards discipline, contractual leverage, and structural resilience to absorb a shock without losing schedule, cost control, or customer confidence. The framework outlined here, combining standards-based verification, structured root cause analysis, active supplier development, real-time performance management, and deliberate reduction of single-source exposure, reflects both established aerospace quality practice and the hard-won lessons documented across government oversight reports, peer-reviewed research, and industry case studies. Programs that apply it consistently do more than recover from a single disruption: they build a supply chain that is measurably harder to disrupt the next time.</w:t>
      </w:r>
    </w:p>
    <w:p w14:paraId="06C2526F" w14:textId="77777777" w:rsidR="007A2657" w:rsidRDefault="00000000">
      <w:pPr>
        <w:pStyle w:val="Heading1"/>
        <w:pBdr>
          <w:bottom w:val="single" w:sz="6" w:space="4" w:color="F5A83D"/>
        </w:pBdr>
        <w:spacing w:before="480" w:after="200"/>
      </w:pPr>
      <w:r>
        <w:rPr>
          <w:rFonts w:ascii="Cambria" w:eastAsia="Cambria" w:hAnsi="Cambria" w:cs="Cambria"/>
          <w:b/>
          <w:bCs/>
          <w:color w:val="0B1A2A"/>
          <w:sz w:val="30"/>
          <w:szCs w:val="30"/>
        </w:rPr>
        <w:t>Limitations and Methodology Note</w:t>
      </w:r>
    </w:p>
    <w:p w14:paraId="67E112FC" w14:textId="77777777" w:rsidR="007A2657" w:rsidRDefault="00000000">
      <w:pPr>
        <w:spacing w:after="200" w:line="288" w:lineRule="auto"/>
        <w:jc w:val="both"/>
      </w:pPr>
      <w:r>
        <w:t xml:space="preserve">This white paper synthesizes publicly available standards documentation, government oversight reports (principally GAO), peer-reviewed research, and industry and consulting publications. Specific figures cited from secondary or retrospective sources, including historical program savings estimates, are identified as such and should be verified against primary program records before use in any compliance-critical or contractual context. Cost-of-poor-quality and disruption-cost ranges vary meaningfully by source and methodology and are presented here as order-of-magnitude context rather than precise benchmarks. </w:t>
      </w:r>
      <w:r>
        <w:lastRenderedPageBreak/>
        <w:t>Readers applying this framework to a specific program should confirm current requirements against the controlled versions of AS9100, AS9102, AS13100, and applicable DFARS clauses, since standards and regulations are periodically revised.</w:t>
      </w:r>
    </w:p>
    <w:p w14:paraId="40A24342" w14:textId="77777777" w:rsidR="007A2657" w:rsidRDefault="00000000">
      <w:pPr>
        <w:pStyle w:val="Heading1"/>
        <w:pBdr>
          <w:bottom w:val="single" w:sz="6" w:space="4" w:color="F5A83D"/>
        </w:pBdr>
        <w:spacing w:before="480" w:after="200"/>
      </w:pPr>
      <w:r>
        <w:rPr>
          <w:rFonts w:ascii="Cambria" w:eastAsia="Cambria" w:hAnsi="Cambria" w:cs="Cambria"/>
          <w:b/>
          <w:bCs/>
          <w:color w:val="0B1A2A"/>
          <w:sz w:val="30"/>
          <w:szCs w:val="30"/>
        </w:rPr>
        <w:t>Sources</w:t>
      </w:r>
    </w:p>
    <w:p w14:paraId="2BFB2287" w14:textId="77777777" w:rsidR="007A2657" w:rsidRDefault="00000000">
      <w:pPr>
        <w:spacing w:after="140" w:line="264" w:lineRule="auto"/>
        <w:ind w:left="360" w:hanging="360"/>
      </w:pPr>
      <w:r>
        <w:rPr>
          <w:sz w:val="20"/>
          <w:szCs w:val="20"/>
        </w:rPr>
        <w:t>SAE International / AS9100 Store. “What is AS9102 First Article Inspection?” as9100store.com.</w:t>
      </w:r>
    </w:p>
    <w:p w14:paraId="5C686FEE" w14:textId="77777777" w:rsidR="007A2657" w:rsidRDefault="00000000">
      <w:pPr>
        <w:spacing w:after="140" w:line="264" w:lineRule="auto"/>
        <w:ind w:left="360" w:hanging="360"/>
      </w:pPr>
      <w:proofErr w:type="spellStart"/>
      <w:r>
        <w:rPr>
          <w:sz w:val="20"/>
          <w:szCs w:val="20"/>
        </w:rPr>
        <w:t>Ideagen</w:t>
      </w:r>
      <w:proofErr w:type="spellEnd"/>
      <w:r>
        <w:rPr>
          <w:sz w:val="20"/>
          <w:szCs w:val="20"/>
        </w:rPr>
        <w:t xml:space="preserve"> / </w:t>
      </w:r>
      <w:proofErr w:type="spellStart"/>
      <w:r>
        <w:rPr>
          <w:sz w:val="20"/>
          <w:szCs w:val="20"/>
        </w:rPr>
        <w:t>InspectionXpert</w:t>
      </w:r>
      <w:proofErr w:type="spellEnd"/>
      <w:r>
        <w:rPr>
          <w:sz w:val="20"/>
          <w:szCs w:val="20"/>
        </w:rPr>
        <w:t>. “AS9102 First Article Inspection Reports.” inspectionxpert.com.</w:t>
      </w:r>
    </w:p>
    <w:p w14:paraId="2D9AE3F7" w14:textId="77777777" w:rsidR="007A2657" w:rsidRDefault="00000000">
      <w:pPr>
        <w:spacing w:after="140" w:line="264" w:lineRule="auto"/>
        <w:ind w:left="360" w:hanging="360"/>
      </w:pPr>
      <w:proofErr w:type="spellStart"/>
      <w:r>
        <w:rPr>
          <w:sz w:val="20"/>
          <w:szCs w:val="20"/>
        </w:rPr>
        <w:t>Bprhub</w:t>
      </w:r>
      <w:proofErr w:type="spellEnd"/>
      <w:r>
        <w:rPr>
          <w:sz w:val="20"/>
          <w:szCs w:val="20"/>
        </w:rPr>
        <w:t>. “AS9102 First Article Inspection: Requirements &amp; Process.” bprhub.com.</w:t>
      </w:r>
    </w:p>
    <w:p w14:paraId="2A2840CA" w14:textId="77777777" w:rsidR="007A2657" w:rsidRDefault="00000000">
      <w:pPr>
        <w:spacing w:after="140" w:line="264" w:lineRule="auto"/>
        <w:ind w:left="360" w:hanging="360"/>
      </w:pPr>
      <w:r>
        <w:rPr>
          <w:sz w:val="20"/>
          <w:szCs w:val="20"/>
        </w:rPr>
        <w:t>Veritas Core Works. “What Is AS9100? A Guide for Aerospace &amp; Defense Manufacturers.” veritascoreworks.com.</w:t>
      </w:r>
    </w:p>
    <w:p w14:paraId="654A58DA" w14:textId="77777777" w:rsidR="007A2657" w:rsidRDefault="00000000">
      <w:pPr>
        <w:spacing w:after="140" w:line="264" w:lineRule="auto"/>
        <w:ind w:left="360" w:hanging="360"/>
      </w:pPr>
      <w:proofErr w:type="spellStart"/>
      <w:r>
        <w:rPr>
          <w:sz w:val="20"/>
          <w:szCs w:val="20"/>
        </w:rPr>
        <w:t>simpleQuE</w:t>
      </w:r>
      <w:proofErr w:type="spellEnd"/>
      <w:r>
        <w:rPr>
          <w:sz w:val="20"/>
          <w:szCs w:val="20"/>
        </w:rPr>
        <w:t>. “All About AS9100 – The Aerospace Standard for Aviation, Space and Defense.” simpleque.com.</w:t>
      </w:r>
    </w:p>
    <w:p w14:paraId="703F8A5E" w14:textId="77777777" w:rsidR="007A2657" w:rsidRDefault="00000000">
      <w:pPr>
        <w:spacing w:after="140" w:line="264" w:lineRule="auto"/>
        <w:ind w:left="360" w:hanging="360"/>
      </w:pPr>
      <w:r>
        <w:rPr>
          <w:sz w:val="20"/>
          <w:szCs w:val="20"/>
        </w:rPr>
        <w:t>NSF International. “Clarifying AS9100 8.4.3 and Flow Downs to External Providers.” nsf.org.</w:t>
      </w:r>
    </w:p>
    <w:p w14:paraId="50AC3CEC" w14:textId="77777777" w:rsidR="007A2657" w:rsidRDefault="00000000">
      <w:pPr>
        <w:spacing w:after="140" w:line="264" w:lineRule="auto"/>
        <w:ind w:left="360" w:hanging="360"/>
      </w:pPr>
      <w:r>
        <w:rPr>
          <w:sz w:val="20"/>
          <w:szCs w:val="20"/>
        </w:rPr>
        <w:t>BSI. “Aerospace Problem Solving: Root Cause Analysis and Corrective Action” (training course description). bsi.learncentral.com.</w:t>
      </w:r>
    </w:p>
    <w:p w14:paraId="7AA9FE7A" w14:textId="77777777" w:rsidR="007A2657" w:rsidRDefault="00000000">
      <w:pPr>
        <w:spacing w:after="140" w:line="264" w:lineRule="auto"/>
        <w:ind w:left="360" w:hanging="360"/>
      </w:pPr>
      <w:proofErr w:type="spellStart"/>
      <w:r>
        <w:rPr>
          <w:sz w:val="20"/>
          <w:szCs w:val="20"/>
        </w:rPr>
        <w:t>ComplianceQuest</w:t>
      </w:r>
      <w:proofErr w:type="spellEnd"/>
      <w:r>
        <w:rPr>
          <w:sz w:val="20"/>
          <w:szCs w:val="20"/>
        </w:rPr>
        <w:t>. “What is 8D Root Cause Analysis?” compliancequest.com.</w:t>
      </w:r>
    </w:p>
    <w:p w14:paraId="669478DE" w14:textId="77777777" w:rsidR="007A2657" w:rsidRDefault="00000000">
      <w:pPr>
        <w:spacing w:after="140" w:line="264" w:lineRule="auto"/>
        <w:ind w:left="360" w:hanging="360"/>
      </w:pPr>
      <w:r>
        <w:rPr>
          <w:sz w:val="20"/>
          <w:szCs w:val="20"/>
        </w:rPr>
        <w:t>APEX Quality Assurance. “The Unifying Update – A Surface-View Look at AS13100A.” apexqualityassurance.com.</w:t>
      </w:r>
    </w:p>
    <w:p w14:paraId="68EDC1E0" w14:textId="77777777" w:rsidR="007A2657" w:rsidRDefault="00000000">
      <w:pPr>
        <w:spacing w:after="140" w:line="264" w:lineRule="auto"/>
        <w:ind w:left="360" w:hanging="360"/>
      </w:pPr>
      <w:r>
        <w:rPr>
          <w:sz w:val="20"/>
          <w:szCs w:val="20"/>
        </w:rPr>
        <w:t>Quality Support Group. “AS13100.” qualitysupportgroup.com.</w:t>
      </w:r>
    </w:p>
    <w:p w14:paraId="0433976E" w14:textId="77777777" w:rsidR="007A2657" w:rsidRDefault="00000000">
      <w:pPr>
        <w:spacing w:after="140" w:line="264" w:lineRule="auto"/>
        <w:ind w:left="360" w:hanging="360"/>
      </w:pPr>
      <w:proofErr w:type="spellStart"/>
      <w:r>
        <w:rPr>
          <w:sz w:val="20"/>
          <w:szCs w:val="20"/>
        </w:rPr>
        <w:t>Unitek</w:t>
      </w:r>
      <w:proofErr w:type="spellEnd"/>
      <w:r>
        <w:rPr>
          <w:sz w:val="20"/>
          <w:szCs w:val="20"/>
        </w:rPr>
        <w:t>/Kiwa. “Top Aerospace Supply Chain Challenges and How to Overcome Them.” unitek-kiwa.com.</w:t>
      </w:r>
    </w:p>
    <w:p w14:paraId="4A44FD66" w14:textId="77777777" w:rsidR="007A2657" w:rsidRDefault="00000000">
      <w:pPr>
        <w:spacing w:after="140" w:line="264" w:lineRule="auto"/>
        <w:ind w:left="360" w:hanging="360"/>
      </w:pPr>
      <w:r>
        <w:rPr>
          <w:sz w:val="20"/>
          <w:szCs w:val="20"/>
        </w:rPr>
        <w:t>National Productivity Review (PubMed abstract). “Affecting the value chain through supplier kaizen.” pubmed.ncbi.nlm.nih.gov.</w:t>
      </w:r>
    </w:p>
    <w:p w14:paraId="53BA12DC" w14:textId="77777777" w:rsidR="007A2657" w:rsidRDefault="00000000">
      <w:pPr>
        <w:spacing w:after="140" w:line="264" w:lineRule="auto"/>
        <w:ind w:left="360" w:hanging="360"/>
      </w:pPr>
      <w:r>
        <w:rPr>
          <w:sz w:val="20"/>
          <w:szCs w:val="20"/>
        </w:rPr>
        <w:t>Kaizen Institute. “Transforming Aerospace Operations” (case study). kaizen.com.</w:t>
      </w:r>
    </w:p>
    <w:p w14:paraId="247275D7" w14:textId="77777777" w:rsidR="007A2657" w:rsidRDefault="00000000">
      <w:pPr>
        <w:spacing w:after="140" w:line="264" w:lineRule="auto"/>
        <w:ind w:left="360" w:hanging="360"/>
      </w:pPr>
      <w:r>
        <w:rPr>
          <w:sz w:val="20"/>
          <w:szCs w:val="20"/>
        </w:rPr>
        <w:t>Deloitte Insights. “2026 Aerospace and Defense Industry Outlook.” deloitte.com.</w:t>
      </w:r>
    </w:p>
    <w:p w14:paraId="561F6C81" w14:textId="77777777" w:rsidR="007A2657" w:rsidRDefault="00000000">
      <w:pPr>
        <w:spacing w:after="140" w:line="264" w:lineRule="auto"/>
        <w:ind w:left="360" w:hanging="360"/>
      </w:pPr>
      <w:r>
        <w:rPr>
          <w:sz w:val="20"/>
          <w:szCs w:val="20"/>
        </w:rPr>
        <w:t>U.S. Government Accountability Office. GAO-17-768, Defense Industrial Base / Single Sources of Supply. gao.gov.</w:t>
      </w:r>
    </w:p>
    <w:p w14:paraId="0E9281EF" w14:textId="77777777" w:rsidR="007A2657" w:rsidRDefault="00000000">
      <w:pPr>
        <w:spacing w:after="140" w:line="264" w:lineRule="auto"/>
        <w:ind w:left="360" w:hanging="360"/>
      </w:pPr>
      <w:r>
        <w:rPr>
          <w:sz w:val="20"/>
          <w:szCs w:val="20"/>
        </w:rPr>
        <w:t>U.S. Government Accountability Office. GAO-22-104154, Defense Industrial Base: DOD Should Take Actions to Strengthen Its Risk Mitigation Approach. gao.gov.</w:t>
      </w:r>
    </w:p>
    <w:p w14:paraId="258F64F9" w14:textId="77777777" w:rsidR="007A2657" w:rsidRDefault="00000000">
      <w:pPr>
        <w:spacing w:after="140" w:line="264" w:lineRule="auto"/>
        <w:ind w:left="360" w:hanging="360"/>
      </w:pPr>
      <w:r>
        <w:rPr>
          <w:sz w:val="20"/>
          <w:szCs w:val="20"/>
        </w:rPr>
        <w:t>U.S. Government Accountability Office. GAO-25-107283 (2025). gao.gov.</w:t>
      </w:r>
    </w:p>
    <w:p w14:paraId="09217250" w14:textId="77777777" w:rsidR="007A2657" w:rsidRDefault="00000000">
      <w:pPr>
        <w:spacing w:after="140" w:line="264" w:lineRule="auto"/>
        <w:ind w:left="360" w:hanging="360"/>
      </w:pPr>
      <w:r>
        <w:rPr>
          <w:sz w:val="20"/>
          <w:szCs w:val="20"/>
        </w:rPr>
        <w:t>Lyon, T. “Does Dual Sourcing Lower Procurement Costs?” Journal of Industrial Economics (2006). Wiley Online Library.</w:t>
      </w:r>
    </w:p>
    <w:p w14:paraId="632B0FF9" w14:textId="77777777" w:rsidR="007A2657" w:rsidRDefault="00000000">
      <w:pPr>
        <w:spacing w:after="140" w:line="264" w:lineRule="auto"/>
        <w:ind w:left="360" w:hanging="360"/>
      </w:pPr>
      <w:proofErr w:type="spellStart"/>
      <w:r>
        <w:rPr>
          <w:sz w:val="20"/>
          <w:szCs w:val="20"/>
        </w:rPr>
        <w:t>SupplyICs</w:t>
      </w:r>
      <w:proofErr w:type="spellEnd"/>
      <w:r>
        <w:rPr>
          <w:sz w:val="20"/>
          <w:szCs w:val="20"/>
        </w:rPr>
        <w:t>. “Dual Sourcing and Second Source Qualification: A Strategic Framework for Semiconductor Procurement in 2026.” supplyics.com.</w:t>
      </w:r>
    </w:p>
    <w:p w14:paraId="0610A40B" w14:textId="77777777" w:rsidR="007A2657" w:rsidRDefault="00000000">
      <w:pPr>
        <w:spacing w:after="140" w:line="264" w:lineRule="auto"/>
        <w:ind w:left="360" w:hanging="360"/>
      </w:pPr>
      <w:r>
        <w:rPr>
          <w:sz w:val="20"/>
          <w:szCs w:val="20"/>
        </w:rPr>
        <w:t>Kodiak Hub. “Supplier Performance Management Process: Templates &amp; Cadence.” kodiakhub.com.</w:t>
      </w:r>
    </w:p>
    <w:p w14:paraId="4771F2A4" w14:textId="77777777" w:rsidR="007A2657" w:rsidRDefault="00000000">
      <w:pPr>
        <w:spacing w:after="140" w:line="264" w:lineRule="auto"/>
        <w:ind w:left="360" w:hanging="360"/>
      </w:pPr>
      <w:proofErr w:type="spellStart"/>
      <w:r>
        <w:rPr>
          <w:sz w:val="20"/>
          <w:szCs w:val="20"/>
        </w:rPr>
        <w:t>Suplari</w:t>
      </w:r>
      <w:proofErr w:type="spellEnd"/>
      <w:r>
        <w:rPr>
          <w:sz w:val="20"/>
          <w:szCs w:val="20"/>
        </w:rPr>
        <w:t>. “What is Supplier Performance Management?” suplari.com.</w:t>
      </w:r>
    </w:p>
    <w:p w14:paraId="797663B4" w14:textId="77777777" w:rsidR="007A2657" w:rsidRDefault="00000000">
      <w:pPr>
        <w:spacing w:after="140" w:line="264" w:lineRule="auto"/>
        <w:ind w:left="360" w:hanging="360"/>
      </w:pPr>
      <w:r>
        <w:rPr>
          <w:sz w:val="20"/>
          <w:szCs w:val="20"/>
        </w:rPr>
        <w:t>American Society for Quality (ASQ) and Quality Digest. Cost of Poor Quality reference materials.</w:t>
      </w:r>
    </w:p>
    <w:p w14:paraId="4DDBE055" w14:textId="77777777" w:rsidR="007A2657" w:rsidRDefault="00000000">
      <w:pPr>
        <w:spacing w:after="140" w:line="264" w:lineRule="auto"/>
        <w:ind w:left="360" w:hanging="360"/>
      </w:pPr>
      <w:proofErr w:type="spellStart"/>
      <w:r>
        <w:rPr>
          <w:sz w:val="20"/>
          <w:szCs w:val="20"/>
        </w:rPr>
        <w:t>RapidRatings</w:t>
      </w:r>
      <w:proofErr w:type="spellEnd"/>
      <w:r>
        <w:rPr>
          <w:sz w:val="20"/>
          <w:szCs w:val="20"/>
        </w:rPr>
        <w:t>. 2025 Annual Risk Survey (supplier disruption cost data).</w:t>
      </w:r>
    </w:p>
    <w:p w14:paraId="073A051C" w14:textId="77777777" w:rsidR="007A2657" w:rsidRDefault="00000000">
      <w:pPr>
        <w:spacing w:after="140" w:line="264" w:lineRule="auto"/>
        <w:ind w:left="360" w:hanging="360"/>
      </w:pPr>
      <w:r>
        <w:rPr>
          <w:sz w:val="20"/>
          <w:szCs w:val="20"/>
        </w:rPr>
        <w:lastRenderedPageBreak/>
        <w:t>National Defense Industrial Association. Vital Signs 2024 (industrial base survey).</w:t>
      </w:r>
    </w:p>
    <w:sectPr w:rsidR="007A2657">
      <w:headerReference w:type="default" r:id="rId8"/>
      <w:footerReference w:type="default" r:id="rId9"/>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8CCFB" w14:textId="77777777" w:rsidR="00D74E9F" w:rsidRDefault="00D74E9F">
      <w:r>
        <w:separator/>
      </w:r>
    </w:p>
  </w:endnote>
  <w:endnote w:type="continuationSeparator" w:id="0">
    <w:p w14:paraId="2091FCA8" w14:textId="77777777" w:rsidR="00D74E9F" w:rsidRDefault="00D74E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50894" w14:textId="77777777" w:rsidR="007A2657" w:rsidRDefault="00000000">
    <w:pPr>
      <w:pBdr>
        <w:top w:val="single" w:sz="4" w:space="4" w:color="F5A83D"/>
      </w:pBdr>
      <w:jc w:val="center"/>
    </w:pPr>
    <w:r>
      <w:rPr>
        <w:color w:val="595959"/>
        <w:sz w:val="16"/>
        <w:szCs w:val="16"/>
      </w:rPr>
      <w:t xml:space="preserve">Page </w:t>
    </w:r>
    <w:r>
      <w:rPr>
        <w:color w:val="595959"/>
        <w:sz w:val="16"/>
        <w:szCs w:val="16"/>
      </w:rPr>
      <w:fldChar w:fldCharType="begin"/>
    </w:r>
    <w:r>
      <w:rPr>
        <w:color w:val="595959"/>
        <w:sz w:val="16"/>
        <w:szCs w:val="16"/>
      </w:rPr>
      <w:instrText>PAGE</w:instrText>
    </w:r>
    <w:r>
      <w:rPr>
        <w:color w:val="595959"/>
        <w:sz w:val="16"/>
        <w:szCs w:val="16"/>
      </w:rPr>
      <w:fldChar w:fldCharType="separate"/>
    </w:r>
    <w:r w:rsidR="00BE3C6A">
      <w:rPr>
        <w:noProof/>
        <w:color w:val="595959"/>
        <w:sz w:val="16"/>
        <w:szCs w:val="16"/>
      </w:rPr>
      <w:t>2</w:t>
    </w:r>
    <w:r>
      <w:rPr>
        <w:color w:val="595959"/>
        <w:sz w:val="16"/>
        <w:szCs w:val="16"/>
      </w:rPr>
      <w:fldChar w:fldCharType="end"/>
    </w:r>
    <w:r>
      <w:rPr>
        <w:color w:val="595959"/>
        <w:sz w:val="16"/>
        <w:szCs w:val="16"/>
      </w:rPr>
      <w:t xml:space="preserve"> of </w:t>
    </w:r>
    <w:r>
      <w:rPr>
        <w:color w:val="595959"/>
        <w:sz w:val="16"/>
        <w:szCs w:val="16"/>
      </w:rPr>
      <w:fldChar w:fldCharType="begin"/>
    </w:r>
    <w:r>
      <w:rPr>
        <w:color w:val="595959"/>
        <w:sz w:val="16"/>
        <w:szCs w:val="16"/>
      </w:rPr>
      <w:instrText>NUMPAGES</w:instrText>
    </w:r>
    <w:r>
      <w:rPr>
        <w:color w:val="595959"/>
        <w:sz w:val="16"/>
        <w:szCs w:val="16"/>
      </w:rPr>
      <w:fldChar w:fldCharType="separate"/>
    </w:r>
    <w:r w:rsidR="00BE3C6A">
      <w:rPr>
        <w:noProof/>
        <w:color w:val="595959"/>
        <w:sz w:val="16"/>
        <w:szCs w:val="16"/>
      </w:rPr>
      <w:t>3</w:t>
    </w:r>
    <w:r>
      <w:rPr>
        <w:color w:val="595959"/>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F42CF" w14:textId="77777777" w:rsidR="00D74E9F" w:rsidRDefault="00D74E9F">
      <w:r>
        <w:separator/>
      </w:r>
    </w:p>
  </w:footnote>
  <w:footnote w:type="continuationSeparator" w:id="0">
    <w:p w14:paraId="243C3C34" w14:textId="77777777" w:rsidR="00D74E9F" w:rsidRDefault="00D74E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047A9" w14:textId="77777777" w:rsidR="007A2657" w:rsidRDefault="00000000">
    <w:pPr>
      <w:pBdr>
        <w:bottom w:val="single" w:sz="4" w:space="4" w:color="F5A83D"/>
      </w:pBdr>
      <w:tabs>
        <w:tab w:val="right" w:pos="9360"/>
      </w:tabs>
    </w:pPr>
    <w:r>
      <w:rPr>
        <w:noProof/>
      </w:rPr>
      <w:drawing>
        <wp:inline distT="0" distB="0" distL="0" distR="0" wp14:anchorId="7AA0BD37" wp14:editId="0387EC82">
          <wp:extent cx="114300" cy="123825"/>
          <wp:effectExtent l="0" t="0" r="0" b="0"/>
          <wp:docPr id="1720806961" name="Picture 1720806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14300" cy="123825"/>
                  </a:xfrm>
                  <a:prstGeom prst="rect">
                    <a:avLst/>
                  </a:prstGeom>
                </pic:spPr>
              </pic:pic>
            </a:graphicData>
          </a:graphic>
        </wp:inline>
      </w:drawing>
    </w:r>
    <w:r>
      <w:rPr>
        <w:caps/>
        <w:color w:val="595959"/>
        <w:spacing w:val="10"/>
        <w:sz w:val="16"/>
        <w:szCs w:val="16"/>
      </w:rPr>
      <w:t xml:space="preserve">  STABILIZING CRITICAL SUPPLIERS</w:t>
    </w:r>
    <w:r>
      <w:rPr>
        <w:sz w:val="16"/>
        <w:szCs w:val="16"/>
      </w:rPr>
      <w:tab/>
    </w:r>
    <w:r>
      <w:rPr>
        <w:color w:val="595959"/>
        <w:sz w:val="16"/>
        <w:szCs w:val="16"/>
      </w:rPr>
      <w:t>Fulcrum Integrated Solutions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33660"/>
    <w:multiLevelType w:val="hybridMultilevel"/>
    <w:tmpl w:val="8D4AB192"/>
    <w:lvl w:ilvl="0" w:tplc="BC2C6166">
      <w:start w:val="1"/>
      <w:numFmt w:val="bullet"/>
      <w:lvlText w:val="•"/>
      <w:lvlJc w:val="left"/>
      <w:pPr>
        <w:ind w:left="720" w:hanging="360"/>
      </w:pPr>
    </w:lvl>
    <w:lvl w:ilvl="1" w:tplc="1B8AFCA2">
      <w:numFmt w:val="decimal"/>
      <w:lvlText w:val=""/>
      <w:lvlJc w:val="left"/>
    </w:lvl>
    <w:lvl w:ilvl="2" w:tplc="91E0BBF2">
      <w:numFmt w:val="decimal"/>
      <w:lvlText w:val=""/>
      <w:lvlJc w:val="left"/>
    </w:lvl>
    <w:lvl w:ilvl="3" w:tplc="D92044DE">
      <w:numFmt w:val="decimal"/>
      <w:lvlText w:val=""/>
      <w:lvlJc w:val="left"/>
    </w:lvl>
    <w:lvl w:ilvl="4" w:tplc="535ECFDE">
      <w:numFmt w:val="decimal"/>
      <w:lvlText w:val=""/>
      <w:lvlJc w:val="left"/>
    </w:lvl>
    <w:lvl w:ilvl="5" w:tplc="3704EF06">
      <w:numFmt w:val="decimal"/>
      <w:lvlText w:val=""/>
      <w:lvlJc w:val="left"/>
    </w:lvl>
    <w:lvl w:ilvl="6" w:tplc="79BA51CE">
      <w:numFmt w:val="decimal"/>
      <w:lvlText w:val=""/>
      <w:lvlJc w:val="left"/>
    </w:lvl>
    <w:lvl w:ilvl="7" w:tplc="DA268876">
      <w:numFmt w:val="decimal"/>
      <w:lvlText w:val=""/>
      <w:lvlJc w:val="left"/>
    </w:lvl>
    <w:lvl w:ilvl="8" w:tplc="7638BB9A">
      <w:numFmt w:val="decimal"/>
      <w:lvlText w:val=""/>
      <w:lvlJc w:val="left"/>
    </w:lvl>
  </w:abstractNum>
  <w:abstractNum w:abstractNumId="1" w15:restartNumberingAfterBreak="0">
    <w:nsid w:val="6DB502A1"/>
    <w:multiLevelType w:val="hybridMultilevel"/>
    <w:tmpl w:val="18A6DE50"/>
    <w:lvl w:ilvl="0" w:tplc="4E1A9D52">
      <w:start w:val="1"/>
      <w:numFmt w:val="bullet"/>
      <w:lvlText w:val="●"/>
      <w:lvlJc w:val="left"/>
      <w:pPr>
        <w:ind w:left="720" w:hanging="360"/>
      </w:pPr>
    </w:lvl>
    <w:lvl w:ilvl="1" w:tplc="D17C032E">
      <w:start w:val="1"/>
      <w:numFmt w:val="bullet"/>
      <w:lvlText w:val="○"/>
      <w:lvlJc w:val="left"/>
      <w:pPr>
        <w:ind w:left="1440" w:hanging="360"/>
      </w:pPr>
    </w:lvl>
    <w:lvl w:ilvl="2" w:tplc="4CC6CE5E">
      <w:start w:val="1"/>
      <w:numFmt w:val="bullet"/>
      <w:lvlText w:val="■"/>
      <w:lvlJc w:val="left"/>
      <w:pPr>
        <w:ind w:left="2160" w:hanging="360"/>
      </w:pPr>
    </w:lvl>
    <w:lvl w:ilvl="3" w:tplc="96EA081E">
      <w:start w:val="1"/>
      <w:numFmt w:val="bullet"/>
      <w:lvlText w:val="●"/>
      <w:lvlJc w:val="left"/>
      <w:pPr>
        <w:ind w:left="2880" w:hanging="360"/>
      </w:pPr>
    </w:lvl>
    <w:lvl w:ilvl="4" w:tplc="EA1268A0">
      <w:start w:val="1"/>
      <w:numFmt w:val="bullet"/>
      <w:lvlText w:val="○"/>
      <w:lvlJc w:val="left"/>
      <w:pPr>
        <w:ind w:left="3600" w:hanging="360"/>
      </w:pPr>
    </w:lvl>
    <w:lvl w:ilvl="5" w:tplc="251AB8E0">
      <w:start w:val="1"/>
      <w:numFmt w:val="bullet"/>
      <w:lvlText w:val="■"/>
      <w:lvlJc w:val="left"/>
      <w:pPr>
        <w:ind w:left="4320" w:hanging="360"/>
      </w:pPr>
    </w:lvl>
    <w:lvl w:ilvl="6" w:tplc="EC122864">
      <w:start w:val="1"/>
      <w:numFmt w:val="bullet"/>
      <w:lvlText w:val="●"/>
      <w:lvlJc w:val="left"/>
      <w:pPr>
        <w:ind w:left="5040" w:hanging="360"/>
      </w:pPr>
    </w:lvl>
    <w:lvl w:ilvl="7" w:tplc="CCEAA726">
      <w:start w:val="1"/>
      <w:numFmt w:val="bullet"/>
      <w:lvlText w:val="●"/>
      <w:lvlJc w:val="left"/>
      <w:pPr>
        <w:ind w:left="5760" w:hanging="360"/>
      </w:pPr>
    </w:lvl>
    <w:lvl w:ilvl="8" w:tplc="FC90B000">
      <w:start w:val="1"/>
      <w:numFmt w:val="bullet"/>
      <w:lvlText w:val="●"/>
      <w:lvlJc w:val="left"/>
      <w:pPr>
        <w:ind w:left="6480" w:hanging="360"/>
      </w:pPr>
    </w:lvl>
  </w:abstractNum>
  <w:num w:numId="1" w16cid:durableId="1239435560">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2657"/>
    <w:rsid w:val="007A2657"/>
    <w:rsid w:val="00A04467"/>
    <w:rsid w:val="00BE3C6A"/>
    <w:rsid w:val="00D74E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4E1C1"/>
  <w15:docId w15:val="{4287ACE0-072D-441A-84E4-DA4688101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222222"/>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688A0FD65D424B95DFB345FECCEC9F" ma:contentTypeVersion="12" ma:contentTypeDescription="Create a new document." ma:contentTypeScope="" ma:versionID="faacfb3c50c2428e0b7c6cefffceaec3">
  <xsd:schema xmlns:xsd="http://www.w3.org/2001/XMLSchema" xmlns:xs="http://www.w3.org/2001/XMLSchema" xmlns:p="http://schemas.microsoft.com/office/2006/metadata/properties" xmlns:ns2="934265f5-0314-4d22-a7ff-43551c4a6c67" xmlns:ns3="8eb648d6-7b75-40d3-a0c2-245a04f89394" targetNamespace="http://schemas.microsoft.com/office/2006/metadata/properties" ma:root="true" ma:fieldsID="b7e98442e54bd28c22cc8d1b5c5c34ba" ns2:_="" ns3:_="">
    <xsd:import namespace="934265f5-0314-4d22-a7ff-43551c4a6c67"/>
    <xsd:import namespace="8eb648d6-7b75-40d3-a0c2-245a04f8939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4265f5-0314-4d22-a7ff-43551c4a6c67"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d2166db2-07b9-44d2-8d92-f36568faa78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eb648d6-7b75-40d3-a0c2-245a04f8939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1ee1749-7954-43e0-b5e0-757a9aae934b}" ma:internalName="TaxCatchAll" ma:showField="CatchAllData" ma:web="8eb648d6-7b75-40d3-a0c2-245a04f893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34265f5-0314-4d22-a7ff-43551c4a6c67">
      <Terms xmlns="http://schemas.microsoft.com/office/infopath/2007/PartnerControls"/>
    </lcf76f155ced4ddcb4097134ff3c332f>
    <TaxCatchAll xmlns="8eb648d6-7b75-40d3-a0c2-245a04f89394" xsi:nil="true"/>
  </documentManagement>
</p:properties>
</file>

<file path=customXml/itemProps1.xml><?xml version="1.0" encoding="utf-8"?>
<ds:datastoreItem xmlns:ds="http://schemas.openxmlformats.org/officeDocument/2006/customXml" ds:itemID="{B8E54F40-7669-4257-BC80-78C76C5A1977}"/>
</file>

<file path=customXml/itemProps2.xml><?xml version="1.0" encoding="utf-8"?>
<ds:datastoreItem xmlns:ds="http://schemas.openxmlformats.org/officeDocument/2006/customXml" ds:itemID="{938E81BE-F158-415F-8768-8C0A907AC93C}"/>
</file>

<file path=customXml/itemProps3.xml><?xml version="1.0" encoding="utf-8"?>
<ds:datastoreItem xmlns:ds="http://schemas.openxmlformats.org/officeDocument/2006/customXml" ds:itemID="{200B34DA-D30B-4FD4-815A-B4092ADB9E5E}"/>
</file>

<file path=docProps/app.xml><?xml version="1.0" encoding="utf-8"?>
<Properties xmlns="http://schemas.openxmlformats.org/officeDocument/2006/extended-properties" xmlns:vt="http://schemas.openxmlformats.org/officeDocument/2006/docPropsVTypes">
  <Template>Normal</Template>
  <TotalTime>0</TotalTime>
  <Pages>11</Pages>
  <Words>3442</Words>
  <Characters>20486</Characters>
  <Application>Microsoft Office Word</Application>
  <DocSecurity>0</DocSecurity>
  <Lines>435</Lines>
  <Paragraphs>314</Paragraphs>
  <ScaleCrop>false</ScaleCrop>
  <Company/>
  <LinksUpToDate>false</LinksUpToDate>
  <CharactersWithSpaces>23614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Nirav Pandya</cp:lastModifiedBy>
  <cp:revision>2</cp:revision>
  <dcterms:created xsi:type="dcterms:W3CDTF">2026-07-08T13:43:00Z</dcterms:created>
  <dcterms:modified xsi:type="dcterms:W3CDTF">2026-07-09T17:23:00Z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0x0101005B688A0FD65D424B95DFB345FECCEC9F</vt:lpwstr>
  </property>
</Properties>
</file>